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Муниципальное бюджетное дошкольное образовательное учреждение детский сад №71 «Огонек» общеразвивающего </w:t>
      </w:r>
      <w:r>
        <w:rPr>
          <w:rFonts w:ascii="Times New Roman" w:hAnsi="Times New Roman"/>
          <w:b w:val="1"/>
        </w:rPr>
        <w:t xml:space="preserve">вида г. </w:t>
      </w:r>
      <w:r>
        <w:rPr>
          <w:rFonts w:ascii="Times New Roman" w:hAnsi="Times New Roman"/>
          <w:b w:val="1"/>
        </w:rPr>
        <w:t xml:space="preserve">Улан-Удэ, </w:t>
      </w:r>
    </w:p>
    <w:p w14:paraId="02000000">
      <w:pPr>
        <w:spacing w:after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Муниципальное бюджетное дошкольное образовательное учреждение детский сад №72 «Аленушка» комбинированного </w:t>
      </w:r>
      <w:r>
        <w:rPr>
          <w:rFonts w:ascii="Times New Roman" w:hAnsi="Times New Roman"/>
          <w:b w:val="1"/>
        </w:rPr>
        <w:t xml:space="preserve">вида г. </w:t>
      </w:r>
      <w:r>
        <w:rPr>
          <w:rFonts w:ascii="Times New Roman" w:hAnsi="Times New Roman"/>
          <w:b w:val="1"/>
        </w:rPr>
        <w:t>Улан</w:t>
      </w:r>
      <w:r>
        <w:rPr>
          <w:rFonts w:ascii="Times New Roman" w:hAnsi="Times New Roman"/>
        </w:rPr>
        <w:t xml:space="preserve">-Удэ </w:t>
      </w:r>
    </w:p>
    <w:p w14:paraId="03000000">
      <w:pPr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Муниципальное автономное дошкольное образовательное учреждение «Детский сад №111 «Дашенька» г. Улан-Удэ</w:t>
      </w:r>
    </w:p>
    <w:p w14:paraId="04000000">
      <w:pPr>
        <w:spacing w:after="0"/>
        <w:ind/>
        <w:jc w:val="center"/>
        <w:rPr>
          <w:rFonts w:ascii="Times New Roman" w:hAnsi="Times New Roman"/>
          <w:b w:val="1"/>
        </w:rPr>
      </w:pPr>
    </w:p>
    <w:p w14:paraId="05000000">
      <w:pPr>
        <w:spacing w:after="0"/>
        <w:ind/>
        <w:jc w:val="center"/>
        <w:rPr>
          <w:rFonts w:ascii="Times New Roman" w:hAnsi="Times New Roman"/>
        </w:rPr>
      </w:pPr>
    </w:p>
    <w:p w14:paraId="06000000">
      <w:pPr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ДОРОЖНАЯ </w:t>
      </w:r>
      <w:r>
        <w:rPr>
          <w:rFonts w:ascii="Times New Roman" w:hAnsi="Times New Roman"/>
          <w:b w:val="1"/>
        </w:rPr>
        <w:t xml:space="preserve">КАРТА ПРОЕКТА </w:t>
      </w:r>
    </w:p>
    <w:p w14:paraId="07000000">
      <w:pPr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«Опережая время»</w:t>
      </w:r>
    </w:p>
    <w:p w14:paraId="08000000">
      <w:pPr>
        <w:spacing w:after="0"/>
        <w:ind/>
        <w:jc w:val="center"/>
        <w:rPr>
          <w:rFonts w:ascii="Times New Roman" w:hAnsi="Times New Roman"/>
        </w:rPr>
      </w:pPr>
    </w:p>
    <w:tbl>
      <w:tblPr>
        <w:tblStyle w:val="Style_1"/>
        <w:tblLayout w:type="fixed"/>
      </w:tblPr>
      <w:tblGrid>
        <w:gridCol w:w="704"/>
        <w:gridCol w:w="4394"/>
        <w:gridCol w:w="4140"/>
        <w:gridCol w:w="5322"/>
      </w:tblGrid>
      <w:tr>
        <w:tc>
          <w:tcPr>
            <w:tcW w:type="dxa" w:w="704"/>
          </w:tcPr>
          <w:p w14:paraId="09000000">
            <w:pPr>
              <w:pStyle w:val="Style_2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394"/>
          </w:tcPr>
          <w:p w14:paraId="0A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Название проекта</w:t>
            </w:r>
          </w:p>
        </w:tc>
        <w:tc>
          <w:tcPr>
            <w:tcW w:type="dxa" w:w="9462"/>
            <w:gridSpan w:val="2"/>
          </w:tcPr>
          <w:p w14:paraId="0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Сетевое взаимодействие как форма повышения качества методическ</w:t>
            </w:r>
            <w:r>
              <w:rPr>
                <w:rFonts w:ascii="Times New Roman" w:hAnsi="Times New Roman"/>
              </w:rPr>
              <w:t>ой компетентности педагогов ДОО</w:t>
            </w:r>
          </w:p>
        </w:tc>
      </w:tr>
      <w:tr>
        <w:trPr>
          <w:trHeight w:hRule="atLeast" w:val="2917"/>
          <w:hidden w:val="0"/>
        </w:trPr>
        <w:tc>
          <w:tcPr>
            <w:tcW w:type="dxa" w:w="704"/>
          </w:tcPr>
          <w:p w14:paraId="0C000000">
            <w:pPr>
              <w:pStyle w:val="Style_2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394"/>
          </w:tcPr>
          <w:p w14:paraId="0D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Краткое описание проекта</w:t>
            </w:r>
          </w:p>
        </w:tc>
        <w:tc>
          <w:tcPr>
            <w:tcW w:type="dxa" w:w="9462"/>
            <w:gridSpan w:val="2"/>
          </w:tcPr>
          <w:p w14:paraId="0E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системы методического сопровождения педагогов в формате сетевого взаимодействия позволит решить проблему выстраивания площадки для профессионального диалога; возможности обмена опытом, презентации собственных метод. разработок, общения в электронной образовательной среде в едином электронном методическом облаке, на единой электронной платформе.</w:t>
            </w:r>
          </w:p>
          <w:p w14:paraId="0F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системы методического сопровождения педагогов ДОО в г. Улан-Удэ;</w:t>
            </w:r>
          </w:p>
          <w:p w14:paraId="10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площадки для обмена опытом, наставничества, обсуждения инноваций в деятельности педагогов города;</w:t>
            </w:r>
          </w:p>
          <w:p w14:paraId="11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Слабая мотивация педагогов к самообразованию и повышению пед. мастерства; </w:t>
            </w:r>
          </w:p>
          <w:p w14:paraId="12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Приток неквалифицированных кадров в ДОО, отсутствие налаженной системы наставничества и выстраивания траектории профессионального развития</w:t>
            </w:r>
          </w:p>
          <w:p w14:paraId="13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механизмов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оценки качества и результатов образовательной деятельности</w:t>
            </w:r>
          </w:p>
        </w:tc>
      </w:tr>
      <w:tr>
        <w:tc>
          <w:tcPr>
            <w:tcW w:type="dxa" w:w="704"/>
          </w:tcPr>
          <w:p w14:paraId="14000000">
            <w:pPr>
              <w:pStyle w:val="Style_2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394"/>
          </w:tcPr>
          <w:p w14:paraId="15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начала реализации проекта</w:t>
            </w:r>
          </w:p>
        </w:tc>
        <w:tc>
          <w:tcPr>
            <w:tcW w:type="dxa" w:w="9462"/>
            <w:gridSpan w:val="2"/>
          </w:tcPr>
          <w:p w14:paraId="1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этап – подготовительный (сентябрь 2020г - ноябрь2020г.)</w:t>
            </w:r>
          </w:p>
          <w:p w14:paraId="1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этап – практический (декабрь2020г.-май 2021г.)</w:t>
            </w:r>
          </w:p>
        </w:tc>
      </w:tr>
      <w:tr>
        <w:tc>
          <w:tcPr>
            <w:tcW w:type="dxa" w:w="704"/>
          </w:tcPr>
          <w:p w14:paraId="18000000">
            <w:pPr>
              <w:pStyle w:val="Style_2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394"/>
          </w:tcPr>
          <w:p w14:paraId="19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окончания проекта</w:t>
            </w:r>
          </w:p>
        </w:tc>
        <w:tc>
          <w:tcPr>
            <w:tcW w:type="dxa" w:w="9462"/>
            <w:gridSpan w:val="2"/>
          </w:tcPr>
          <w:p w14:paraId="1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Третий этап- оценочно-рефлексивный (сентябрь 2021г.-август 2022г.)</w:t>
            </w:r>
          </w:p>
        </w:tc>
      </w:tr>
      <w:tr>
        <w:tc>
          <w:tcPr>
            <w:tcW w:type="dxa" w:w="704"/>
          </w:tcPr>
          <w:p w14:paraId="1B000000">
            <w:pPr>
              <w:pStyle w:val="Style_2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394"/>
          </w:tcPr>
          <w:p w14:paraId="1C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Обоснование социальной значимости проекта</w:t>
            </w:r>
          </w:p>
        </w:tc>
        <w:tc>
          <w:tcPr>
            <w:tcW w:type="dxa" w:w="9462"/>
            <w:gridSpan w:val="2"/>
          </w:tcPr>
          <w:p w14:paraId="1D000000">
            <w:pPr>
              <w:pStyle w:val="Style_2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Це</w:t>
            </w:r>
            <w:r>
              <w:rPr>
                <w:rStyle w:val="Style_3_ch"/>
                <w:rFonts w:ascii="Times New Roman" w:hAnsi="Times New Roman"/>
                <w:b w:val="1"/>
                <w:color w:val="000000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  <w:color w:val="000000"/>
              </w:rPr>
              <w:instrText>HYPERLINK "file:///C:/Users/ST/Downloads/левые%20группы%20проекта:"</w:instrText>
            </w:r>
            <w:r>
              <w:rPr>
                <w:rStyle w:val="Style_3_ch"/>
                <w:rFonts w:ascii="Times New Roman" w:hAnsi="Times New Roman"/>
                <w:b w:val="1"/>
                <w:color w:val="000000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  <w:color w:val="000000"/>
              </w:rPr>
              <w:t>левые группы проекта:</w:t>
            </w:r>
            <w:r>
              <w:rPr>
                <w:rStyle w:val="Style_3_ch"/>
                <w:rFonts w:ascii="Times New Roman" w:hAnsi="Times New Roman"/>
                <w:b w:val="1"/>
                <w:color w:val="000000"/>
              </w:rPr>
              <w:fldChar w:fldCharType="end"/>
            </w:r>
          </w:p>
          <w:p w14:paraId="1E000000">
            <w:pPr>
              <w:pStyle w:val="Style_2"/>
              <w:ind w:firstLine="0" w:left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Педагоги, специалисты ДОО г. Улан-Удэ и Республики Бурятия.</w:t>
            </w:r>
          </w:p>
          <w:p w14:paraId="1F000000">
            <w:pPr>
              <w:pStyle w:val="Style_2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Инновации в условиях образовательной сети приобретают эволюционный характер, что связано с непрерывным обменом информацией и опытом, и отсутствием обязательного внедрения. Опыт участников сети оказывается востребованным не только в качестве примера для подражания, а также в качестве индикатора или зеркала, которое позволяет увидеть уровень собственного опыта и дополнить его чем - то новым, способствующим эффективности дальнейшей работы.</w:t>
            </w:r>
          </w:p>
          <w:p w14:paraId="20000000">
            <w:pPr>
              <w:pStyle w:val="Style_2"/>
              <w:ind w:firstLine="0" w:left="0"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Проблема целевой группы:</w:t>
            </w:r>
          </w:p>
          <w:p w14:paraId="21000000">
            <w:pPr>
              <w:pStyle w:val="Style_2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отсутствие системы методического </w:t>
            </w:r>
            <w:r>
              <w:rPr>
                <w:rFonts w:ascii="Times New Roman" w:hAnsi="Times New Roman"/>
              </w:rPr>
              <w:t>сопровождения педагогов</w:t>
            </w:r>
            <w:r>
              <w:rPr>
                <w:rFonts w:ascii="Times New Roman" w:hAnsi="Times New Roman"/>
              </w:rPr>
              <w:t xml:space="preserve"> ДОО в г. Улан-Удэ;</w:t>
            </w:r>
          </w:p>
          <w:p w14:paraId="22000000">
            <w:pPr>
              <w:pStyle w:val="Style_2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площадки для обмена опытом, наставничества, обсуждения инноваций в деятельности педагогов города;</w:t>
            </w:r>
          </w:p>
          <w:p w14:paraId="23000000">
            <w:pPr>
              <w:pStyle w:val="Style_2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Слабая мотивация педагогов к с</w:t>
            </w:r>
            <w:r>
              <w:rPr>
                <w:rFonts w:ascii="Times New Roman" w:hAnsi="Times New Roman"/>
              </w:rPr>
              <w:t xml:space="preserve">амообразованию и повышению педагогического </w:t>
            </w:r>
            <w:r>
              <w:rPr>
                <w:rFonts w:ascii="Times New Roman" w:hAnsi="Times New Roman"/>
              </w:rPr>
              <w:t xml:space="preserve">мастерства; </w:t>
            </w:r>
          </w:p>
          <w:p w14:paraId="24000000">
            <w:pPr>
              <w:pStyle w:val="Style_2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Приток неквалифицированных кадров в ДОО, отсутствие налаженной системы наставничества и выстраивания траектории профессионального развития</w:t>
            </w:r>
          </w:p>
          <w:p w14:paraId="25000000">
            <w:pPr>
              <w:pStyle w:val="Style_2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Отсутствие механизмов оценки качества и результатов образовательной деятельности</w:t>
            </w:r>
          </w:p>
          <w:p w14:paraId="26000000">
            <w:pPr>
              <w:pStyle w:val="Style_2"/>
              <w:ind w:firstLine="0" w:left="0"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Руководители ДОО</w:t>
            </w:r>
          </w:p>
          <w:p w14:paraId="27000000">
            <w:pPr>
              <w:pStyle w:val="Style_2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Главная цель сетевого взаимодействия — это повышение качества дошкольного образования посредством доступности и открытости работы ДОО, имидж ДОО входящих в сеть.</w:t>
            </w:r>
          </w:p>
        </w:tc>
      </w:tr>
      <w:tr>
        <w:tc>
          <w:tcPr>
            <w:tcW w:type="dxa" w:w="704"/>
          </w:tcPr>
          <w:p w14:paraId="28000000">
            <w:pPr>
              <w:pStyle w:val="Style_2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394"/>
          </w:tcPr>
          <w:p w14:paraId="29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Полное описание проекта, презентация проекта</w:t>
            </w:r>
          </w:p>
        </w:tc>
        <w:tc>
          <w:tcPr>
            <w:tcW w:type="dxa" w:w="9462"/>
            <w:gridSpan w:val="2"/>
          </w:tcPr>
          <w:p w14:paraId="2A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сегодняшний день педагоги нашего города особенно остро испытывают отсутствие налаженной системы методического сопровождения их педагогической деятельности, помощи в выстраивании индивидуальной траектории профессионального развития, организации наставничества.</w:t>
            </w:r>
          </w:p>
          <w:p w14:paraId="2B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наш взгляд, необходима такая площадка для обмена опытом на основе ИКТ, обсуждения продуктов инновационной деятельности педагогов города;</w:t>
            </w:r>
          </w:p>
          <w:p w14:paraId="2C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Вместе с тем, отмечается слабая мотивация педагогов к с</w:t>
            </w:r>
            <w:r>
              <w:rPr>
                <w:rFonts w:ascii="Times New Roman" w:hAnsi="Times New Roman"/>
              </w:rPr>
              <w:t xml:space="preserve">амообразованию и повышению педагогического </w:t>
            </w:r>
            <w:r>
              <w:rPr>
                <w:rFonts w:ascii="Times New Roman" w:hAnsi="Times New Roman"/>
              </w:rPr>
              <w:t xml:space="preserve">мастерства; </w:t>
            </w:r>
          </w:p>
          <w:p w14:paraId="2D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Также нельзя не отметить нарастающий процесс вливания кадров, имеющих не профильное образование в ДОО в виду их острой нехватки и отсутствия системы повышения их методической компетентности.</w:t>
            </w:r>
          </w:p>
          <w:p w14:paraId="2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Решение данной проблемы мы видим</w:t>
            </w:r>
            <w:r>
              <w:rPr>
                <w:rFonts w:ascii="Times New Roman" w:hAnsi="Times New Roman"/>
              </w:rPr>
              <w:t xml:space="preserve"> в Организации системы методического сопровождения педагогов в формате сетевого взаимодействия, которое позволит создать площадку для профессионального диалога, а именно обмена опытом, презентации собственных метод. разработок, путем создания электронной образовательной среды в виде электронного методического облака, электронной платформы взаимодействия в сети с другими ДОО и социальными партнерами</w:t>
            </w:r>
          </w:p>
        </w:tc>
      </w:tr>
      <w:tr>
        <w:tc>
          <w:tcPr>
            <w:tcW w:type="dxa" w:w="704"/>
          </w:tcPr>
          <w:p w14:paraId="2F000000">
            <w:pPr>
              <w:pStyle w:val="Style_2"/>
              <w:ind w:firstLine="0" w:lef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type="dxa" w:w="4394"/>
          </w:tcPr>
          <w:p w14:paraId="30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Цель проекта:</w:t>
            </w:r>
          </w:p>
        </w:tc>
        <w:tc>
          <w:tcPr>
            <w:tcW w:type="dxa" w:w="9462"/>
            <w:gridSpan w:val="2"/>
          </w:tcPr>
          <w:p w14:paraId="31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с</w:t>
            </w:r>
            <w:bookmarkStart w:id="1" w:name="_GoBack"/>
            <w:bookmarkEnd w:id="1"/>
            <w:r>
              <w:rPr>
                <w:rFonts w:ascii="Times New Roman" w:hAnsi="Times New Roman"/>
              </w:rPr>
              <w:t>истемы методического сопровождения педагогов ДОО на основе сетевого взаимодействия</w:t>
            </w:r>
            <w:r>
              <w:rPr>
                <w:rFonts w:ascii="Times New Roman" w:hAnsi="Times New Roman"/>
              </w:rPr>
              <w:t xml:space="preserve"> ДОО г. Улан-Удэ.</w:t>
            </w:r>
          </w:p>
        </w:tc>
      </w:tr>
      <w:tr>
        <w:tc>
          <w:tcPr>
            <w:tcW w:type="dxa" w:w="704"/>
          </w:tcPr>
          <w:p w14:paraId="32000000">
            <w:pPr>
              <w:pStyle w:val="Style_2"/>
              <w:ind w:firstLine="0" w:lef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</w:t>
            </w:r>
          </w:p>
        </w:tc>
        <w:tc>
          <w:tcPr>
            <w:tcW w:type="dxa" w:w="4394"/>
          </w:tcPr>
          <w:p w14:paraId="33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Задачи проекта:</w:t>
            </w:r>
          </w:p>
        </w:tc>
        <w:tc>
          <w:tcPr>
            <w:tcW w:type="dxa" w:w="9462"/>
            <w:gridSpan w:val="2"/>
          </w:tcPr>
          <w:p w14:paraId="34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 Разработка нормативно-правовой документации деятельности образовательной сети и условий ее функционирования.</w:t>
            </w:r>
          </w:p>
          <w:p w14:paraId="35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Разработка организационной модели методического сопровождения педагогов на основе сетевого партнёрства.</w:t>
            </w:r>
          </w:p>
          <w:p w14:paraId="36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 xml:space="preserve">Создание электронной информационно-образовательной среды </w:t>
            </w:r>
            <w:r>
              <w:rPr>
                <w:rFonts w:ascii="Times New Roman" w:hAnsi="Times New Roman"/>
              </w:rPr>
              <w:t>сетевого взаимодействия ДОО (</w:t>
            </w:r>
            <w:r>
              <w:rPr>
                <w:rFonts w:ascii="Times New Roman" w:hAnsi="Times New Roman"/>
              </w:rPr>
              <w:t>Элек</w:t>
            </w:r>
            <w:r>
              <w:rPr>
                <w:rFonts w:ascii="Times New Roman" w:hAnsi="Times New Roman"/>
              </w:rPr>
              <w:t xml:space="preserve">тронного методического облака, </w:t>
            </w:r>
            <w:r>
              <w:rPr>
                <w:rFonts w:ascii="Times New Roman" w:hAnsi="Times New Roman"/>
              </w:rPr>
              <w:t xml:space="preserve"> платфо</w:t>
            </w:r>
            <w:r>
              <w:rPr>
                <w:rFonts w:ascii="Times New Roman" w:hAnsi="Times New Roman"/>
              </w:rPr>
              <w:t>рма методического сопровождения)</w:t>
            </w:r>
          </w:p>
        </w:tc>
      </w:tr>
      <w:tr>
        <w:trPr>
          <w:trHeight w:hRule="atLeast" w:val="120"/>
        </w:trPr>
        <w:tc>
          <w:tcPr>
            <w:tcW w:type="dxa" w:w="704"/>
            <w:vMerge w:val="restart"/>
          </w:tcPr>
          <w:p w14:paraId="37000000">
            <w:pPr>
              <w:pStyle w:val="Style_2"/>
              <w:ind w:firstLine="0"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  <w:tc>
          <w:tcPr>
            <w:tcW w:type="dxa" w:w="4394"/>
            <w:vMerge w:val="restart"/>
          </w:tcPr>
          <w:p w14:paraId="38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Партнёры проекта</w:t>
            </w:r>
          </w:p>
        </w:tc>
        <w:tc>
          <w:tcPr>
            <w:tcW w:type="dxa" w:w="4140"/>
          </w:tcPr>
          <w:p w14:paraId="39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Партнер</w:t>
            </w:r>
          </w:p>
        </w:tc>
        <w:tc>
          <w:tcPr>
            <w:tcW w:type="dxa" w:w="5322"/>
          </w:tcPr>
          <w:p w14:paraId="3A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Вид поддержки</w:t>
            </w:r>
          </w:p>
        </w:tc>
      </w:tr>
      <w:tr>
        <w:trPr>
          <w:trHeight w:hRule="atLeast" w:val="120"/>
        </w:trPr>
        <w:tc>
          <w:tcPr>
            <w:tcW w:type="dxa" w:w="704"/>
            <w:gridSpan w:val="1"/>
            <w:vMerge w:val="continue"/>
          </w:tcPr>
          <w:p/>
        </w:tc>
        <w:tc>
          <w:tcPr>
            <w:tcW w:type="dxa" w:w="4394"/>
            <w:gridSpan w:val="1"/>
            <w:vMerge w:val="continue"/>
          </w:tcPr>
          <w:p/>
        </w:tc>
        <w:tc>
          <w:tcPr>
            <w:tcW w:type="dxa" w:w="4140"/>
          </w:tcPr>
          <w:p w14:paraId="3B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БГУ</w:t>
            </w:r>
          </w:p>
        </w:tc>
        <w:tc>
          <w:tcPr>
            <w:tcW w:type="dxa" w:w="5322"/>
          </w:tcPr>
          <w:p w14:paraId="3C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sz w:val="24"/>
              </w:rPr>
              <w:t xml:space="preserve">Привлечение в качестве экспертов для </w:t>
            </w:r>
            <w:r>
              <w:rPr>
                <w:rFonts w:ascii="Times New Roman" w:hAnsi="Times New Roman"/>
                <w:sz w:val="24"/>
              </w:rPr>
              <w:t>консультирования</w:t>
            </w:r>
            <w:r>
              <w:rPr>
                <w:rFonts w:ascii="Times New Roman" w:hAnsi="Times New Roman"/>
                <w:sz w:val="24"/>
              </w:rPr>
              <w:t xml:space="preserve"> и других мероприятий.</w:t>
            </w:r>
          </w:p>
        </w:tc>
      </w:tr>
      <w:tr>
        <w:trPr>
          <w:trHeight w:hRule="atLeast" w:val="120"/>
        </w:trPr>
        <w:tc>
          <w:tcPr>
            <w:tcW w:type="dxa" w:w="704"/>
            <w:gridSpan w:val="1"/>
            <w:vMerge w:val="continue"/>
          </w:tcPr>
          <w:p/>
        </w:tc>
        <w:tc>
          <w:tcPr>
            <w:tcW w:type="dxa" w:w="4394"/>
            <w:gridSpan w:val="1"/>
            <w:vMerge w:val="continue"/>
          </w:tcPr>
          <w:p/>
        </w:tc>
        <w:tc>
          <w:tcPr>
            <w:tcW w:type="dxa" w:w="4140"/>
          </w:tcPr>
          <w:p w14:paraId="3D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БРИОП</w:t>
            </w:r>
          </w:p>
        </w:tc>
        <w:tc>
          <w:tcPr>
            <w:tcW w:type="dxa" w:w="5322"/>
          </w:tcPr>
          <w:p w14:paraId="3E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sz w:val="24"/>
              </w:rPr>
              <w:t>Привлечение в качестве экспертов</w:t>
            </w:r>
            <w:r>
              <w:rPr>
                <w:rFonts w:ascii="Times New Roman" w:hAnsi="Times New Roman"/>
                <w:sz w:val="24"/>
              </w:rPr>
              <w:t xml:space="preserve"> для оказания информационной и консультационной поддержки в реализации проекта.</w:t>
            </w:r>
          </w:p>
        </w:tc>
      </w:tr>
      <w:tr>
        <w:trPr>
          <w:trHeight w:hRule="atLeast" w:val="120"/>
        </w:trPr>
        <w:tc>
          <w:tcPr>
            <w:tcW w:type="dxa" w:w="704"/>
            <w:gridSpan w:val="1"/>
            <w:vMerge w:val="continue"/>
          </w:tcPr>
          <w:p/>
        </w:tc>
        <w:tc>
          <w:tcPr>
            <w:tcW w:type="dxa" w:w="4394"/>
            <w:gridSpan w:val="1"/>
            <w:vMerge w:val="continue"/>
          </w:tcPr>
          <w:p/>
        </w:tc>
        <w:tc>
          <w:tcPr>
            <w:tcW w:type="dxa" w:w="4140"/>
          </w:tcPr>
          <w:p w14:paraId="3F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БРПК</w:t>
            </w:r>
          </w:p>
        </w:tc>
        <w:tc>
          <w:tcPr>
            <w:tcW w:type="dxa" w:w="5322"/>
          </w:tcPr>
          <w:p w14:paraId="40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sz w:val="24"/>
              </w:rPr>
              <w:t>Привлечение в качестве экспертов</w:t>
            </w:r>
            <w:r>
              <w:rPr>
                <w:rFonts w:ascii="Times New Roman" w:hAnsi="Times New Roman"/>
                <w:sz w:val="24"/>
              </w:rPr>
              <w:t xml:space="preserve"> и участников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конкурсов и других мероприятий.</w:t>
            </w:r>
            <w:r>
              <w:rPr>
                <w:rFonts w:ascii="Times New Roman" w:hAnsi="Times New Roman"/>
                <w:sz w:val="24"/>
              </w:rPr>
              <w:t xml:space="preserve"> Оказание арендных услуг. Наставничество.</w:t>
            </w:r>
          </w:p>
        </w:tc>
      </w:tr>
      <w:tr>
        <w:trPr>
          <w:trHeight w:hRule="atLeast" w:val="120"/>
        </w:trPr>
        <w:tc>
          <w:tcPr>
            <w:tcW w:type="dxa" w:w="704"/>
            <w:gridSpan w:val="1"/>
            <w:vMerge w:val="continue"/>
          </w:tcPr>
          <w:p/>
        </w:tc>
        <w:tc>
          <w:tcPr>
            <w:tcW w:type="dxa" w:w="4394"/>
            <w:gridSpan w:val="1"/>
            <w:vMerge w:val="continue"/>
          </w:tcPr>
          <w:p/>
        </w:tc>
        <w:tc>
          <w:tcPr>
            <w:tcW w:type="dxa" w:w="4140"/>
          </w:tcPr>
          <w:p w14:paraId="41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</w:t>
            </w:r>
          </w:p>
        </w:tc>
        <w:tc>
          <w:tcPr>
            <w:tcW w:type="dxa" w:w="5322"/>
          </w:tcPr>
          <w:p w14:paraId="42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sz w:val="24"/>
              </w:rPr>
              <w:t>Привлечение в качестве экспертов для конкурсов и других мероприятий.</w:t>
            </w:r>
          </w:p>
        </w:tc>
      </w:tr>
      <w:tr>
        <w:trPr>
          <w:trHeight w:hRule="atLeast" w:val="120"/>
        </w:trPr>
        <w:tc>
          <w:tcPr>
            <w:tcW w:type="dxa" w:w="704"/>
            <w:gridSpan w:val="1"/>
            <w:vMerge w:val="continue"/>
          </w:tcPr>
          <w:p/>
        </w:tc>
        <w:tc>
          <w:tcPr>
            <w:tcW w:type="dxa" w:w="4394"/>
            <w:gridSpan w:val="1"/>
            <w:vMerge w:val="continue"/>
          </w:tcPr>
          <w:p/>
        </w:tc>
        <w:tc>
          <w:tcPr>
            <w:tcW w:type="dxa" w:w="4140"/>
          </w:tcPr>
          <w:p w14:paraId="43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Депутат </w:t>
            </w:r>
            <w:r>
              <w:rPr>
                <w:rFonts w:ascii="Times New Roman" w:hAnsi="Times New Roman"/>
                <w:b w:val="1"/>
              </w:rPr>
              <w:t>Бальжиров</w:t>
            </w:r>
            <w:r>
              <w:rPr>
                <w:rFonts w:ascii="Times New Roman" w:hAnsi="Times New Roman"/>
                <w:b w:val="1"/>
              </w:rPr>
              <w:t xml:space="preserve"> С.Е</w:t>
            </w:r>
          </w:p>
        </w:tc>
        <w:tc>
          <w:tcPr>
            <w:tcW w:type="dxa" w:w="5322"/>
          </w:tcPr>
          <w:p w14:paraId="44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</w:rPr>
              <w:t xml:space="preserve"> организационн</w:t>
            </w:r>
            <w:r>
              <w:rPr>
                <w:rFonts w:ascii="Times New Roman" w:hAnsi="Times New Roman"/>
              </w:rPr>
              <w:t>ой</w:t>
            </w:r>
            <w:r>
              <w:rPr>
                <w:rFonts w:ascii="Times New Roman" w:hAnsi="Times New Roman"/>
              </w:rPr>
              <w:t xml:space="preserve"> и информационн</w:t>
            </w:r>
            <w:r>
              <w:rPr>
                <w:rFonts w:ascii="Times New Roman" w:hAnsi="Times New Roman"/>
              </w:rPr>
              <w:t>ой</w:t>
            </w:r>
            <w:r>
              <w:rPr>
                <w:rFonts w:ascii="Times New Roman" w:hAnsi="Times New Roman"/>
              </w:rPr>
              <w:t xml:space="preserve"> поддержк</w:t>
            </w:r>
            <w:r>
              <w:rPr>
                <w:rFonts w:ascii="Times New Roman" w:hAnsi="Times New Roman"/>
              </w:rPr>
              <w:t>и,</w:t>
            </w:r>
            <w:r>
              <w:rPr>
                <w:rFonts w:ascii="Times New Roman" w:hAnsi="Times New Roman"/>
              </w:rPr>
              <w:t xml:space="preserve"> разме</w:t>
            </w:r>
            <w:r>
              <w:rPr>
                <w:rFonts w:ascii="Times New Roman" w:hAnsi="Times New Roman"/>
              </w:rPr>
              <w:t>щение</w:t>
            </w:r>
            <w:r>
              <w:rPr>
                <w:rFonts w:ascii="Times New Roman" w:hAnsi="Times New Roman"/>
              </w:rPr>
              <w:t xml:space="preserve"> на своих официальных ресурсах сведения о ходе реализации данного проекта, а также содействовать в распространении информации о нем в СМИ региона.</w:t>
            </w:r>
          </w:p>
        </w:tc>
      </w:tr>
      <w:tr>
        <w:trPr>
          <w:trHeight w:hRule="atLeast" w:val="135"/>
        </w:trPr>
        <w:tc>
          <w:tcPr>
            <w:tcW w:type="dxa" w:w="704"/>
            <w:gridSpan w:val="1"/>
            <w:vMerge w:val="continue"/>
          </w:tcPr>
          <w:p/>
        </w:tc>
        <w:tc>
          <w:tcPr>
            <w:tcW w:type="dxa" w:w="4394"/>
            <w:gridSpan w:val="1"/>
            <w:vMerge w:val="continue"/>
          </w:tcPr>
          <w:p/>
        </w:tc>
        <w:tc>
          <w:tcPr>
            <w:tcW w:type="dxa" w:w="4140"/>
          </w:tcPr>
          <w:p w14:paraId="45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Профсоюз работников образования</w:t>
            </w:r>
          </w:p>
        </w:tc>
        <w:tc>
          <w:tcPr>
            <w:tcW w:type="dxa" w:w="5322"/>
          </w:tcPr>
          <w:p w14:paraId="46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</w:rPr>
              <w:t xml:space="preserve"> организационн</w:t>
            </w:r>
            <w:r>
              <w:rPr>
                <w:rFonts w:ascii="Times New Roman" w:hAnsi="Times New Roman"/>
              </w:rPr>
              <w:t>ой</w:t>
            </w:r>
            <w:r>
              <w:rPr>
                <w:rFonts w:ascii="Times New Roman" w:hAnsi="Times New Roman"/>
              </w:rPr>
              <w:t xml:space="preserve"> и информационн</w:t>
            </w:r>
            <w:r>
              <w:rPr>
                <w:rFonts w:ascii="Times New Roman" w:hAnsi="Times New Roman"/>
              </w:rPr>
              <w:t>ой</w:t>
            </w:r>
            <w:r>
              <w:rPr>
                <w:rFonts w:ascii="Times New Roman" w:hAnsi="Times New Roman"/>
              </w:rPr>
              <w:t xml:space="preserve"> поддержк</w:t>
            </w:r>
            <w:r>
              <w:rPr>
                <w:rFonts w:ascii="Times New Roman" w:hAnsi="Times New Roman"/>
              </w:rPr>
              <w:t>и,</w:t>
            </w:r>
            <w:r>
              <w:rPr>
                <w:rFonts w:ascii="Times New Roman" w:hAnsi="Times New Roman"/>
              </w:rPr>
              <w:t xml:space="preserve"> разме</w:t>
            </w:r>
            <w:r>
              <w:rPr>
                <w:rFonts w:ascii="Times New Roman" w:hAnsi="Times New Roman"/>
              </w:rPr>
              <w:t>щение</w:t>
            </w:r>
            <w:r>
              <w:rPr>
                <w:rFonts w:ascii="Times New Roman" w:hAnsi="Times New Roman"/>
              </w:rPr>
              <w:t xml:space="preserve"> на своих официальных ресурсах сведения о ходе реализации данного проекта, а также содействовать в распространении информации о нем в СМИ региона.</w:t>
            </w:r>
          </w:p>
        </w:tc>
      </w:tr>
      <w:tr>
        <w:tc>
          <w:tcPr>
            <w:tcW w:type="dxa" w:w="704"/>
          </w:tcPr>
          <w:p w14:paraId="47000000">
            <w:pPr>
              <w:pStyle w:val="Style_2"/>
              <w:ind w:firstLine="0"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type="dxa" w:w="4394"/>
          </w:tcPr>
          <w:p w14:paraId="48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Письма поддержки</w:t>
            </w:r>
          </w:p>
        </w:tc>
        <w:tc>
          <w:tcPr>
            <w:tcW w:type="dxa" w:w="9462"/>
            <w:gridSpan w:val="2"/>
          </w:tcPr>
          <w:p w14:paraId="49000000">
            <w:pPr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04"/>
          </w:tcPr>
          <w:p w14:paraId="4A000000">
            <w:pPr>
              <w:pStyle w:val="Style_2"/>
              <w:ind w:firstLine="0"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6.5</w:t>
            </w:r>
          </w:p>
        </w:tc>
        <w:tc>
          <w:tcPr>
            <w:tcW w:type="dxa" w:w="4394"/>
          </w:tcPr>
          <w:p w14:paraId="4B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Информационное сопровождение проекта</w:t>
            </w:r>
          </w:p>
        </w:tc>
        <w:tc>
          <w:tcPr>
            <w:tcW w:type="dxa" w:w="9462"/>
            <w:gridSpan w:val="2"/>
          </w:tcPr>
          <w:p w14:paraId="4C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 сопровождение проекта ос</w:t>
            </w:r>
            <w:r>
              <w:rPr>
                <w:rFonts w:ascii="Times New Roman" w:hAnsi="Times New Roman"/>
              </w:rPr>
              <w:t xml:space="preserve">уществляется в социальных сетях  </w:t>
            </w:r>
            <w:r>
              <w:rPr>
                <w:rFonts w:ascii="Times New Roman" w:hAnsi="Times New Roman"/>
              </w:rPr>
              <w:t>Фейсбук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Инстаграмм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Roboto" w:hAnsi="Roboto"/>
                <w:color w:val="0000FF"/>
                <w:sz w:val="20"/>
                <w:highlight w:val="white"/>
                <w:u w:val="single"/>
              </w:rPr>
              <w:fldChar w:fldCharType="begin"/>
            </w:r>
            <w:r>
              <w:rPr>
                <w:rFonts w:ascii="Roboto" w:hAnsi="Roboto"/>
                <w:color w:val="0000FF"/>
                <w:sz w:val="20"/>
                <w:highlight w:val="white"/>
                <w:u w:val="single"/>
              </w:rPr>
              <w:instrText>HYPERLINK "https://vk.com/away.php?to=https%3A%2F%2Fwww.facebook.com%2Fgroups%2F720440022226268&amp;cc_key="</w:instrText>
            </w:r>
            <w:r>
              <w:rPr>
                <w:rFonts w:ascii="Roboto" w:hAnsi="Roboto"/>
                <w:color w:val="0000FF"/>
                <w:sz w:val="20"/>
                <w:highlight w:val="white"/>
                <w:u w:val="single"/>
              </w:rPr>
              <w:fldChar w:fldCharType="separate"/>
            </w:r>
            <w:r>
              <w:rPr>
                <w:rFonts w:ascii="Roboto" w:hAnsi="Roboto"/>
                <w:color w:val="0000FF"/>
                <w:sz w:val="20"/>
                <w:highlight w:val="white"/>
                <w:u w:val="single"/>
              </w:rPr>
              <w:t>https://www.facebook.com/groups/720440022226268</w:t>
            </w:r>
            <w:r>
              <w:rPr>
                <w:rFonts w:ascii="Roboto" w:hAnsi="Roboto"/>
                <w:color w:val="0000FF"/>
                <w:sz w:val="20"/>
                <w:highlight w:val="white"/>
                <w:u w:val="single"/>
              </w:rPr>
              <w:fldChar w:fldCharType="end"/>
            </w:r>
            <w:r>
              <w:t xml:space="preserve">, </w:t>
            </w:r>
            <w:r>
              <w:rPr>
                <w:rFonts w:ascii="Times New Roman" w:hAnsi="Times New Roman"/>
              </w:rPr>
              <w:t xml:space="preserve">Статья </w:t>
            </w:r>
            <w:r>
              <w:rPr>
                <w:rFonts w:ascii="Times New Roman" w:hAnsi="Times New Roman"/>
              </w:rPr>
              <w:t>в периодическом всероссийском журнале «Дошкольный Мир».</w:t>
            </w:r>
          </w:p>
        </w:tc>
      </w:tr>
      <w:tr>
        <w:tc>
          <w:tcPr>
            <w:tcW w:type="dxa" w:w="704"/>
          </w:tcPr>
          <w:p w14:paraId="4D000000">
            <w:pPr>
              <w:pStyle w:val="Style_2"/>
              <w:ind w:firstLine="0"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  <w:tc>
          <w:tcPr>
            <w:tcW w:type="dxa" w:w="4394"/>
          </w:tcPr>
          <w:p w14:paraId="4E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Количественный результат реализации проекта </w:t>
            </w:r>
          </w:p>
        </w:tc>
        <w:tc>
          <w:tcPr>
            <w:tcW w:type="dxa" w:w="9462"/>
            <w:gridSpan w:val="2"/>
          </w:tcPr>
          <w:p w14:paraId="4F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данном этапе провести количественный </w:t>
            </w:r>
            <w:r>
              <w:rPr>
                <w:rFonts w:ascii="Times New Roman" w:hAnsi="Times New Roman"/>
              </w:rPr>
              <w:t>подсчет результативности нет возможности.</w:t>
            </w:r>
          </w:p>
        </w:tc>
      </w:tr>
      <w:tr>
        <w:trPr>
          <w:trHeight w:hRule="atLeast" w:val="105"/>
        </w:trPr>
        <w:tc>
          <w:tcPr>
            <w:tcW w:type="dxa" w:w="704"/>
            <w:vMerge w:val="restart"/>
          </w:tcPr>
          <w:p w14:paraId="50000000">
            <w:pPr>
              <w:pStyle w:val="Style_2"/>
              <w:ind w:firstLine="0"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4394"/>
            <w:vMerge w:val="restart"/>
          </w:tcPr>
          <w:p w14:paraId="51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</w:t>
            </w:r>
            <w:r>
              <w:rPr>
                <w:rFonts w:ascii="Times New Roman" w:hAnsi="Times New Roman"/>
                <w:b w:val="1"/>
              </w:rPr>
              <w:t>онечный</w:t>
            </w:r>
          </w:p>
          <w:p w14:paraId="52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результат реализации</w:t>
            </w:r>
          </w:p>
          <w:p w14:paraId="53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проекта</w:t>
            </w:r>
          </w:p>
        </w:tc>
        <w:tc>
          <w:tcPr>
            <w:tcW w:type="dxa" w:w="9462"/>
            <w:gridSpan w:val="2"/>
          </w:tcPr>
          <w:p w14:paraId="5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Разработка модели сетевого образовательного пространства для организации методического сопровождения педагогов ДОО.</w:t>
            </w:r>
          </w:p>
        </w:tc>
      </w:tr>
      <w:tr>
        <w:trPr>
          <w:trHeight w:hRule="atLeast" w:val="105"/>
        </w:trPr>
        <w:tc>
          <w:tcPr>
            <w:tcW w:type="dxa" w:w="704"/>
            <w:gridSpan w:val="1"/>
            <w:vMerge w:val="continue"/>
          </w:tcPr>
          <w:p/>
        </w:tc>
        <w:tc>
          <w:tcPr>
            <w:tcW w:type="dxa" w:w="4394"/>
            <w:gridSpan w:val="1"/>
            <w:vMerge w:val="continue"/>
          </w:tcPr>
          <w:p/>
        </w:tc>
        <w:tc>
          <w:tcPr>
            <w:tcW w:type="dxa" w:w="9462"/>
            <w:gridSpan w:val="2"/>
          </w:tcPr>
          <w:p w14:paraId="55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Повышение методической грамотности педагогов за счет сетевого взаимодействия, обеспечение качественной подготовки к аттестации.</w:t>
            </w:r>
          </w:p>
        </w:tc>
      </w:tr>
      <w:tr>
        <w:trPr>
          <w:trHeight w:hRule="atLeast" w:val="105"/>
        </w:trPr>
        <w:tc>
          <w:tcPr>
            <w:tcW w:type="dxa" w:w="704"/>
            <w:gridSpan w:val="1"/>
            <w:vMerge w:val="continue"/>
          </w:tcPr>
          <w:p/>
        </w:tc>
        <w:tc>
          <w:tcPr>
            <w:tcW w:type="dxa" w:w="4394"/>
            <w:gridSpan w:val="1"/>
            <w:vMerge w:val="continue"/>
          </w:tcPr>
          <w:p/>
        </w:tc>
        <w:tc>
          <w:tcPr>
            <w:tcW w:type="dxa" w:w="9462"/>
            <w:gridSpan w:val="2"/>
          </w:tcPr>
          <w:p w14:paraId="56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Доступность инновационного опыта широкому кругу пользователей Интернет-сети, трансляция результатов сетевых проектов.</w:t>
            </w:r>
          </w:p>
        </w:tc>
      </w:tr>
      <w:tr>
        <w:trPr>
          <w:trHeight w:hRule="atLeast" w:val="105"/>
        </w:trPr>
        <w:tc>
          <w:tcPr>
            <w:tcW w:type="dxa" w:w="704"/>
            <w:gridSpan w:val="1"/>
            <w:vMerge w:val="continue"/>
          </w:tcPr>
          <w:p/>
        </w:tc>
        <w:tc>
          <w:tcPr>
            <w:tcW w:type="dxa" w:w="4394"/>
            <w:gridSpan w:val="1"/>
            <w:vMerge w:val="continue"/>
          </w:tcPr>
          <w:p/>
        </w:tc>
        <w:tc>
          <w:tcPr>
            <w:tcW w:type="dxa" w:w="9462"/>
            <w:gridSpan w:val="2"/>
          </w:tcPr>
          <w:p w14:paraId="57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Повышение доступности и качества образовательной информации среди ДОО г. У-У, информационный обмен между сетевыми звеньями.</w:t>
            </w:r>
          </w:p>
        </w:tc>
      </w:tr>
      <w:tr>
        <w:trPr>
          <w:trHeight w:hRule="atLeast" w:val="105"/>
        </w:trPr>
        <w:tc>
          <w:tcPr>
            <w:tcW w:type="dxa" w:w="704"/>
            <w:gridSpan w:val="1"/>
            <w:vMerge w:val="continue"/>
          </w:tcPr>
          <w:p/>
        </w:tc>
        <w:tc>
          <w:tcPr>
            <w:tcW w:type="dxa" w:w="4394"/>
            <w:gridSpan w:val="1"/>
            <w:vMerge w:val="continue"/>
          </w:tcPr>
          <w:p/>
        </w:tc>
        <w:tc>
          <w:tcPr>
            <w:tcW w:type="dxa" w:w="9462"/>
            <w:gridSpan w:val="2"/>
          </w:tcPr>
          <w:p w14:paraId="58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Распространение стандартов WSR среди педагогов города для повышения качества их методической компетентности</w:t>
            </w:r>
          </w:p>
        </w:tc>
      </w:tr>
      <w:tr>
        <w:trPr>
          <w:trHeight w:hRule="atLeast" w:val="135"/>
        </w:trPr>
        <w:tc>
          <w:tcPr>
            <w:tcW w:type="dxa" w:w="704"/>
          </w:tcPr>
          <w:p w14:paraId="59000000">
            <w:pPr>
              <w:pStyle w:val="Style_2"/>
              <w:ind w:firstLine="0"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6.8</w:t>
            </w:r>
          </w:p>
        </w:tc>
        <w:tc>
          <w:tcPr>
            <w:tcW w:type="dxa" w:w="4394"/>
          </w:tcPr>
          <w:p w14:paraId="5A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Дальнейшее развитие проекта</w:t>
            </w:r>
          </w:p>
        </w:tc>
        <w:tc>
          <w:tcPr>
            <w:tcW w:type="dxa" w:w="9462"/>
            <w:gridSpan w:val="2"/>
            <w:tcBorders>
              <w:top w:sz="4" w:val="nil"/>
            </w:tcBorders>
          </w:tcPr>
          <w:p w14:paraId="5B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Летней Интеллектуальной школы может стать площадкой для организованного общения среди педагогов города и объединять педагогов города и района. </w:t>
            </w:r>
          </w:p>
        </w:tc>
      </w:tr>
      <w:tr>
        <w:trPr>
          <w:trHeight w:hRule="atLeast" w:val="135"/>
        </w:trPr>
        <w:tc>
          <w:tcPr>
            <w:tcW w:type="dxa" w:w="704"/>
          </w:tcPr>
          <w:p w14:paraId="5C000000">
            <w:pPr>
              <w:pStyle w:val="Style_2"/>
              <w:ind w:firstLine="0"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</w:t>
            </w:r>
          </w:p>
        </w:tc>
        <w:tc>
          <w:tcPr>
            <w:tcW w:type="dxa" w:w="4394"/>
          </w:tcPr>
          <w:p w14:paraId="5D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 проекте</w:t>
            </w:r>
          </w:p>
        </w:tc>
        <w:tc>
          <w:tcPr>
            <w:tcW w:type="dxa" w:w="9462"/>
            <w:gridSpan w:val="2"/>
          </w:tcPr>
          <w:p w14:paraId="5E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Roboto" w:hAnsi="Roboto"/>
                <w:color w:val="0000FF"/>
                <w:sz w:val="20"/>
                <w:highlight w:val="white"/>
                <w:u w:val="single"/>
              </w:rPr>
              <w:fldChar w:fldCharType="begin"/>
            </w:r>
            <w:r>
              <w:rPr>
                <w:rFonts w:ascii="Roboto" w:hAnsi="Roboto"/>
                <w:color w:val="0000FF"/>
                <w:sz w:val="20"/>
                <w:highlight w:val="white"/>
                <w:u w:val="single"/>
              </w:rPr>
              <w:instrText>HYPERLINK "https://vk.com/away.php?to=https%3A%2F%2Fwww.facebook.com%2Fgroups%2F720440022226268&amp;cc_key="</w:instrText>
            </w:r>
            <w:r>
              <w:rPr>
                <w:rFonts w:ascii="Roboto" w:hAnsi="Roboto"/>
                <w:color w:val="0000FF"/>
                <w:sz w:val="20"/>
                <w:highlight w:val="white"/>
                <w:u w:val="single"/>
              </w:rPr>
              <w:fldChar w:fldCharType="separate"/>
            </w:r>
            <w:r>
              <w:rPr>
                <w:rFonts w:ascii="Roboto" w:hAnsi="Roboto"/>
                <w:color w:val="0000FF"/>
                <w:sz w:val="20"/>
                <w:highlight w:val="white"/>
                <w:u w:val="single"/>
              </w:rPr>
              <w:t>https://www.facebook.com/groups/720440022226268</w:t>
            </w:r>
            <w:r>
              <w:rPr>
                <w:rFonts w:ascii="Roboto" w:hAnsi="Roboto"/>
                <w:color w:val="0000FF"/>
                <w:sz w:val="20"/>
                <w:highlight w:val="white"/>
                <w:u w:val="single"/>
              </w:rPr>
              <w:fldChar w:fldCharType="end"/>
            </w:r>
            <w:r>
              <w:t>,</w:t>
            </w:r>
          </w:p>
        </w:tc>
      </w:tr>
      <w:tr>
        <w:trPr>
          <w:trHeight w:hRule="atLeast" w:val="135"/>
        </w:trPr>
        <w:tc>
          <w:tcPr>
            <w:tcW w:type="dxa" w:w="704"/>
          </w:tcPr>
          <w:p w14:paraId="5F000000">
            <w:pPr>
              <w:pStyle w:val="Style_2"/>
              <w:ind w:firstLine="0" w:left="22"/>
              <w:rPr>
                <w:rFonts w:ascii="Times New Roman" w:hAnsi="Times New Roman"/>
              </w:rPr>
            </w:pPr>
          </w:p>
        </w:tc>
        <w:tc>
          <w:tcPr>
            <w:tcW w:type="dxa" w:w="4394"/>
          </w:tcPr>
          <w:p w14:paraId="6000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9462"/>
            <w:gridSpan w:val="2"/>
          </w:tcPr>
          <w:p w14:paraId="61000000">
            <w:pPr>
              <w:ind/>
              <w:jc w:val="both"/>
              <w:rPr>
                <w:rFonts w:ascii="Times New Roman" w:hAnsi="Times New Roman"/>
              </w:rPr>
            </w:pPr>
          </w:p>
        </w:tc>
      </w:tr>
    </w:tbl>
    <w:p w14:paraId="62000000">
      <w:pPr>
        <w:spacing w:after="0"/>
        <w:ind/>
        <w:jc w:val="center"/>
        <w:rPr>
          <w:rFonts w:ascii="Times New Roman" w:hAnsi="Times New Roman"/>
          <w:b w:val="1"/>
        </w:rPr>
      </w:pPr>
    </w:p>
    <w:p w14:paraId="63000000"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br w:type="page"/>
      </w:r>
    </w:p>
    <w:p w14:paraId="64000000">
      <w:pPr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7. Руководитель проекта</w:t>
      </w:r>
    </w:p>
    <w:p w14:paraId="65000000">
      <w:pPr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7.1. - 7.4.</w:t>
      </w:r>
    </w:p>
    <w:tbl>
      <w:tblPr>
        <w:tblStyle w:val="Style_4"/>
        <w:tblLayout w:type="fixed"/>
      </w:tblPr>
      <w:tblGrid>
        <w:gridCol w:w="2854"/>
        <w:gridCol w:w="2854"/>
        <w:gridCol w:w="2854"/>
        <w:gridCol w:w="2380"/>
        <w:gridCol w:w="3513"/>
      </w:tblGrid>
      <w:tr>
        <w:trPr>
          <w:trHeight w:hRule="atLeast" w:val="806"/>
        </w:trPr>
        <w:tc>
          <w:tcPr>
            <w:tcW w:type="dxa" w:w="2854"/>
          </w:tcPr>
          <w:p w14:paraId="66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ДОУ</w:t>
            </w:r>
          </w:p>
        </w:tc>
        <w:tc>
          <w:tcPr>
            <w:tcW w:type="dxa" w:w="2854"/>
          </w:tcPr>
          <w:p w14:paraId="67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ФИО руководителя</w:t>
            </w:r>
          </w:p>
        </w:tc>
        <w:tc>
          <w:tcPr>
            <w:tcW w:type="dxa" w:w="2854"/>
          </w:tcPr>
          <w:p w14:paraId="68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Должность руководителя проекта</w:t>
            </w:r>
          </w:p>
        </w:tc>
        <w:tc>
          <w:tcPr>
            <w:tcW w:type="dxa" w:w="2380"/>
          </w:tcPr>
          <w:p w14:paraId="69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Мобильный телефон</w:t>
            </w:r>
          </w:p>
        </w:tc>
        <w:tc>
          <w:tcPr>
            <w:tcW w:type="dxa" w:w="3513"/>
          </w:tcPr>
          <w:p w14:paraId="6A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Электронная почта</w:t>
            </w:r>
          </w:p>
        </w:tc>
      </w:tr>
      <w:tr>
        <w:trPr>
          <w:trHeight w:hRule="atLeast" w:val="822"/>
        </w:trPr>
        <w:tc>
          <w:tcPr>
            <w:tcW w:type="dxa" w:w="2854"/>
          </w:tcPr>
          <w:p w14:paraId="6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Детский сад №71 «Огонек»</w:t>
            </w:r>
          </w:p>
        </w:tc>
        <w:tc>
          <w:tcPr>
            <w:tcW w:type="dxa" w:w="2854"/>
          </w:tcPr>
          <w:p w14:paraId="6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Щербакова Юлия Леонидовна</w:t>
            </w:r>
          </w:p>
        </w:tc>
        <w:tc>
          <w:tcPr>
            <w:tcW w:type="dxa" w:w="2854"/>
          </w:tcPr>
          <w:p w14:paraId="6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type="dxa" w:w="2380"/>
          </w:tcPr>
          <w:p w14:paraId="6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89246503674</w:t>
            </w:r>
          </w:p>
        </w:tc>
        <w:tc>
          <w:tcPr>
            <w:tcW w:type="dxa" w:w="3513"/>
          </w:tcPr>
          <w:p w14:paraId="6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ogonek-71@mail.ru</w:t>
            </w:r>
          </w:p>
        </w:tc>
      </w:tr>
      <w:tr>
        <w:trPr>
          <w:trHeight w:hRule="atLeast" w:val="806"/>
        </w:trPr>
        <w:tc>
          <w:tcPr>
            <w:tcW w:type="dxa" w:w="2854"/>
          </w:tcPr>
          <w:p w14:paraId="7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Детский сад №111 «Дашенька»</w:t>
            </w:r>
          </w:p>
        </w:tc>
        <w:tc>
          <w:tcPr>
            <w:tcW w:type="dxa" w:w="2854"/>
          </w:tcPr>
          <w:p w14:paraId="7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Зиннатуллина Лариса Сергеевна</w:t>
            </w:r>
          </w:p>
        </w:tc>
        <w:tc>
          <w:tcPr>
            <w:tcW w:type="dxa" w:w="2854"/>
          </w:tcPr>
          <w:p w14:paraId="7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type="dxa" w:w="2380"/>
          </w:tcPr>
          <w:p w14:paraId="7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89146334441</w:t>
            </w:r>
          </w:p>
        </w:tc>
        <w:tc>
          <w:tcPr>
            <w:tcW w:type="dxa" w:w="3513"/>
          </w:tcPr>
          <w:p w14:paraId="7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dashenka-uuds@yandex.ru</w:t>
            </w:r>
          </w:p>
        </w:tc>
      </w:tr>
      <w:tr>
        <w:trPr>
          <w:trHeight w:hRule="atLeast" w:val="806"/>
        </w:trPr>
        <w:tc>
          <w:tcPr>
            <w:tcW w:type="dxa" w:w="2854"/>
          </w:tcPr>
          <w:p w14:paraId="7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Детский сад №72 «Аленушка»</w:t>
            </w:r>
          </w:p>
        </w:tc>
        <w:tc>
          <w:tcPr>
            <w:tcW w:type="dxa" w:w="2854"/>
          </w:tcPr>
          <w:p w14:paraId="7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Сагакова Елена Владимировна</w:t>
            </w:r>
          </w:p>
        </w:tc>
        <w:tc>
          <w:tcPr>
            <w:tcW w:type="dxa" w:w="2854"/>
          </w:tcPr>
          <w:p w14:paraId="7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type="dxa" w:w="2380"/>
          </w:tcPr>
          <w:p w14:paraId="7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89021609415</w:t>
            </w:r>
          </w:p>
        </w:tc>
        <w:tc>
          <w:tcPr>
            <w:tcW w:type="dxa" w:w="3513"/>
          </w:tcPr>
          <w:p w14:paraId="7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UUCadik72@yandex.ru</w:t>
            </w:r>
          </w:p>
        </w:tc>
      </w:tr>
    </w:tbl>
    <w:p w14:paraId="7A000000">
      <w:pPr>
        <w:spacing w:after="0"/>
        <w:ind/>
        <w:rPr>
          <w:rFonts w:ascii="Times New Roman" w:hAnsi="Times New Roman"/>
          <w:b w:val="1"/>
        </w:rPr>
      </w:pPr>
    </w:p>
    <w:p w14:paraId="7B000000">
      <w:pPr>
        <w:tabs>
          <w:tab w:leader="none" w:pos="6345" w:val="left"/>
        </w:tabs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ab/>
      </w:r>
    </w:p>
    <w:p w14:paraId="7C000000">
      <w:pPr>
        <w:spacing w:after="0"/>
        <w:ind/>
        <w:jc w:val="center"/>
        <w:rPr>
          <w:rFonts w:ascii="Times New Roman" w:hAnsi="Times New Roman"/>
          <w:b w:val="1"/>
        </w:rPr>
      </w:pPr>
      <w:r>
        <w:drawing>
          <wp:inline>
            <wp:extent cx="5784612" cy="3257550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rcRect b="14563" l="6985" r="0" t="6636"/>
                    <a:stretch/>
                  </pic:blipFill>
                  <pic:spPr>
                    <a:xfrm flipH="false" flipV="false" rot="0">
                      <a:ext cx="5784612" cy="32575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D000000">
      <w:pPr>
        <w:spacing w:after="0"/>
        <w:ind/>
        <w:jc w:val="center"/>
        <w:rPr>
          <w:rFonts w:ascii="Times New Roman" w:hAnsi="Times New Roman"/>
          <w:b w:val="1"/>
        </w:rPr>
      </w:pPr>
    </w:p>
    <w:p w14:paraId="7E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br w:type="page"/>
      </w:r>
      <w:bookmarkStart w:id="2" w:name="_Hlk82812118"/>
      <w:r>
        <w:rPr>
          <w:rFonts w:ascii="Times New Roman" w:hAnsi="Times New Roman"/>
          <w:b w:val="1"/>
          <w:sz w:val="24"/>
        </w:rPr>
        <w:t>8. Команда проекта</w:t>
      </w:r>
    </w:p>
    <w:p w14:paraId="7F000000">
      <w:pPr>
        <w:spacing w:after="200"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8.1 - 8.2</w:t>
      </w:r>
    </w:p>
    <w:tbl>
      <w:tblPr>
        <w:tblStyle w:val="Style_5"/>
        <w:tblLayout w:type="fixed"/>
      </w:tblPr>
      <w:tblGrid>
        <w:gridCol w:w="3223"/>
        <w:gridCol w:w="4584"/>
        <w:gridCol w:w="6931"/>
      </w:tblGrid>
      <w:tr>
        <w:trPr>
          <w:trHeight w:hRule="atLeast" w:val="698"/>
        </w:trPr>
        <w:tc>
          <w:tcPr>
            <w:tcW w:type="dxa" w:w="3223"/>
          </w:tcPr>
          <w:p w14:paraId="80000000">
            <w:pPr>
              <w:rPr>
                <w:rFonts w:ascii="Times New Roman" w:hAnsi="Times New Roman"/>
                <w:b w:val="1"/>
                <w:sz w:val="24"/>
              </w:rPr>
            </w:pPr>
            <w:bookmarkEnd w:id="2"/>
            <w:r>
              <w:rPr>
                <w:rFonts w:ascii="Times New Roman" w:hAnsi="Times New Roman"/>
                <w:b w:val="1"/>
                <w:sz w:val="24"/>
              </w:rPr>
              <w:t>Наименование ДОУ</w:t>
            </w:r>
          </w:p>
        </w:tc>
        <w:tc>
          <w:tcPr>
            <w:tcW w:type="dxa" w:w="4584"/>
          </w:tcPr>
          <w:p w14:paraId="81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ФИО члена команды</w:t>
            </w:r>
          </w:p>
        </w:tc>
        <w:tc>
          <w:tcPr>
            <w:tcW w:type="dxa" w:w="6931"/>
          </w:tcPr>
          <w:p w14:paraId="8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Должность и роль в проекте</w:t>
            </w:r>
          </w:p>
        </w:tc>
      </w:tr>
      <w:tr>
        <w:trPr>
          <w:trHeight w:hRule="atLeast" w:val="1059"/>
        </w:trPr>
        <w:tc>
          <w:tcPr>
            <w:tcW w:type="dxa" w:w="3223"/>
          </w:tcPr>
          <w:p w14:paraId="83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Детский сад №71 «Огонек»</w:t>
            </w:r>
          </w:p>
        </w:tc>
        <w:tc>
          <w:tcPr>
            <w:tcW w:type="dxa" w:w="4584"/>
          </w:tcPr>
          <w:p w14:paraId="84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Томсон Анна Анатольевна</w:t>
            </w:r>
          </w:p>
        </w:tc>
        <w:tc>
          <w:tcPr>
            <w:tcW w:type="dxa" w:w="6931"/>
          </w:tcPr>
          <w:p w14:paraId="8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техническая поддержка проекта: размещение материалов на сайтах ДОУ</w:t>
            </w:r>
          </w:p>
        </w:tc>
      </w:tr>
      <w:tr>
        <w:trPr>
          <w:trHeight w:hRule="atLeast" w:val="1059"/>
        </w:trPr>
        <w:tc>
          <w:tcPr>
            <w:tcW w:type="dxa" w:w="3223"/>
          </w:tcPr>
          <w:p w14:paraId="8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Детский сад №71 «Огонек»</w:t>
            </w:r>
          </w:p>
        </w:tc>
        <w:tc>
          <w:tcPr>
            <w:tcW w:type="dxa" w:w="4584"/>
          </w:tcPr>
          <w:p w14:paraId="8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Ибрагимова Ольга Владимировна</w:t>
            </w:r>
          </w:p>
        </w:tc>
        <w:tc>
          <w:tcPr>
            <w:tcW w:type="dxa" w:w="6931"/>
          </w:tcPr>
          <w:p w14:paraId="8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  <w:r>
              <w:rPr>
                <w:rFonts w:ascii="Times New Roman" w:hAnsi="Times New Roman"/>
                <w:sz w:val="24"/>
              </w:rPr>
              <w:t>, организация взаимодействия с сетевыми партнерами, профессиональными сообществами</w:t>
            </w:r>
          </w:p>
        </w:tc>
      </w:tr>
      <w:tr>
        <w:trPr>
          <w:trHeight w:hRule="atLeast" w:val="1059"/>
        </w:trPr>
        <w:tc>
          <w:tcPr>
            <w:tcW w:type="dxa" w:w="3223"/>
          </w:tcPr>
          <w:p w14:paraId="89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Детский сад №71 «Огонек»</w:t>
            </w:r>
          </w:p>
        </w:tc>
        <w:tc>
          <w:tcPr>
            <w:tcW w:type="dxa" w:w="4584"/>
          </w:tcPr>
          <w:p w14:paraId="8A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Шурыгина Вера Иннокентьевна</w:t>
            </w:r>
          </w:p>
        </w:tc>
        <w:tc>
          <w:tcPr>
            <w:tcW w:type="dxa" w:w="6931"/>
          </w:tcPr>
          <w:p w14:paraId="8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  <w:r>
              <w:rPr>
                <w:rFonts w:ascii="Times New Roman" w:hAnsi="Times New Roman"/>
                <w:sz w:val="24"/>
              </w:rPr>
              <w:t xml:space="preserve">, систематизация научно-методического банка </w:t>
            </w:r>
            <w:r>
              <w:rPr>
                <w:rFonts w:ascii="Times New Roman" w:hAnsi="Times New Roman"/>
                <w:sz w:val="24"/>
              </w:rPr>
              <w:t>практических материалов для предложения</w:t>
            </w:r>
          </w:p>
        </w:tc>
      </w:tr>
      <w:tr>
        <w:trPr>
          <w:trHeight w:hRule="atLeast" w:val="1059"/>
        </w:trPr>
        <w:tc>
          <w:tcPr>
            <w:tcW w:type="dxa" w:w="3223"/>
          </w:tcPr>
          <w:p w14:paraId="8C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МАДОУ Детский сад №111 «Дашенька»</w:t>
            </w:r>
          </w:p>
        </w:tc>
        <w:tc>
          <w:tcPr>
            <w:tcW w:type="dxa" w:w="4584"/>
          </w:tcPr>
          <w:p w14:paraId="8D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Комарь Ольга Анатольевна</w:t>
            </w:r>
          </w:p>
        </w:tc>
        <w:tc>
          <w:tcPr>
            <w:tcW w:type="dxa" w:w="6931"/>
          </w:tcPr>
          <w:p w14:paraId="8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Учитель-логопед, Гугл-анкетирование, сбор информации по участникам</w:t>
            </w:r>
          </w:p>
        </w:tc>
      </w:tr>
      <w:tr>
        <w:trPr>
          <w:trHeight w:hRule="atLeast" w:val="1046"/>
        </w:trPr>
        <w:tc>
          <w:tcPr>
            <w:tcW w:type="dxa" w:w="3223"/>
          </w:tcPr>
          <w:p w14:paraId="8F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МАДОУ Детский сад №111 «Дашенька»</w:t>
            </w:r>
          </w:p>
        </w:tc>
        <w:tc>
          <w:tcPr>
            <w:tcW w:type="dxa" w:w="4584"/>
          </w:tcPr>
          <w:p w14:paraId="90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Дмитриева Ольга Леонидовна</w:t>
            </w:r>
          </w:p>
        </w:tc>
        <w:tc>
          <w:tcPr>
            <w:tcW w:type="dxa" w:w="6931"/>
          </w:tcPr>
          <w:p w14:paraId="9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разработка мероприятий согласно дорожной карты проекта</w:t>
            </w:r>
          </w:p>
        </w:tc>
      </w:tr>
      <w:tr>
        <w:trPr>
          <w:trHeight w:hRule="atLeast" w:val="1059"/>
        </w:trPr>
        <w:tc>
          <w:tcPr>
            <w:tcW w:type="dxa" w:w="3223"/>
          </w:tcPr>
          <w:p w14:paraId="9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МАДОУ Детский сад №111 «Дашенька»</w:t>
            </w:r>
          </w:p>
        </w:tc>
        <w:tc>
          <w:tcPr>
            <w:tcW w:type="dxa" w:w="4584"/>
          </w:tcPr>
          <w:p w14:paraId="93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Егорова Сарра Семеновна</w:t>
            </w:r>
          </w:p>
        </w:tc>
        <w:tc>
          <w:tcPr>
            <w:tcW w:type="dxa" w:w="6931"/>
          </w:tcPr>
          <w:p w14:paraId="9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разработка мероприятий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согласно</w:t>
            </w:r>
            <w:r>
              <w:rPr>
                <w:rFonts w:ascii="Times New Roman" w:hAnsi="Times New Roman"/>
                <w:sz w:val="24"/>
              </w:rPr>
              <w:t xml:space="preserve"> дорожной карты проекта</w:t>
            </w:r>
          </w:p>
        </w:tc>
      </w:tr>
      <w:tr>
        <w:trPr>
          <w:trHeight w:hRule="atLeast" w:val="1046"/>
        </w:trPr>
        <w:tc>
          <w:tcPr>
            <w:tcW w:type="dxa" w:w="3223"/>
          </w:tcPr>
          <w:p w14:paraId="95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Детский сад №72 «Аленушка»</w:t>
            </w:r>
          </w:p>
        </w:tc>
        <w:tc>
          <w:tcPr>
            <w:tcW w:type="dxa" w:w="4584"/>
          </w:tcPr>
          <w:p w14:paraId="96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Желибо Марина Анатольевна</w:t>
            </w:r>
          </w:p>
        </w:tc>
        <w:tc>
          <w:tcPr>
            <w:tcW w:type="dxa" w:w="6931"/>
          </w:tcPr>
          <w:p w14:paraId="9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воспитатель.</w:t>
            </w:r>
            <w:r>
              <w:rPr>
                <w:rFonts w:ascii="Times New Roman" w:hAnsi="Times New Roman"/>
                <w:sz w:val="24"/>
              </w:rPr>
              <w:t xml:space="preserve"> Анонсирование мероприятий в сети на сайтах, в социальных сетях, рассылка на  электронные почты ДОУ, планирование конференций на платформе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ZOOM</w:t>
            </w:r>
          </w:p>
        </w:tc>
      </w:tr>
      <w:tr>
        <w:trPr>
          <w:trHeight w:hRule="atLeast" w:val="1046"/>
        </w:trPr>
        <w:tc>
          <w:tcPr>
            <w:tcW w:type="dxa" w:w="3223"/>
          </w:tcPr>
          <w:p w14:paraId="9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Детский сад №72 «Аленушка»</w:t>
            </w:r>
          </w:p>
        </w:tc>
        <w:tc>
          <w:tcPr>
            <w:tcW w:type="dxa" w:w="4584"/>
          </w:tcPr>
          <w:p w14:paraId="9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Дымчикова Гэрэлма</w:t>
            </w:r>
            <w:r>
              <w:rPr>
                <w:rFonts w:ascii="Times New Roman" w:hAnsi="Times New Roman"/>
                <w:sz w:val="24"/>
              </w:rPr>
              <w:t xml:space="preserve"> Геннадьевна</w:t>
            </w:r>
          </w:p>
        </w:tc>
        <w:tc>
          <w:tcPr>
            <w:tcW w:type="dxa" w:w="6931"/>
          </w:tcPr>
          <w:p w14:paraId="9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бурятского языка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 ответственный за оформление и реализацию НПО</w:t>
            </w:r>
          </w:p>
        </w:tc>
      </w:tr>
      <w:tr>
        <w:trPr>
          <w:trHeight w:hRule="atLeast" w:val="1046"/>
        </w:trPr>
        <w:tc>
          <w:tcPr>
            <w:tcW w:type="dxa" w:w="3223"/>
          </w:tcPr>
          <w:p w14:paraId="9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Детский сад №72 «Аленушка»</w:t>
            </w:r>
          </w:p>
        </w:tc>
        <w:tc>
          <w:tcPr>
            <w:tcW w:type="dxa" w:w="4584"/>
          </w:tcPr>
          <w:p w14:paraId="9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Алексеева Елена Романовна</w:t>
            </w:r>
          </w:p>
        </w:tc>
        <w:tc>
          <w:tcPr>
            <w:tcW w:type="dxa" w:w="6931"/>
          </w:tcPr>
          <w:p w14:paraId="9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оспитатель</w:t>
            </w:r>
            <w:r>
              <w:rPr>
                <w:rFonts w:ascii="Times New Roman" w:hAnsi="Times New Roman"/>
                <w:sz w:val="24"/>
              </w:rPr>
              <w:t xml:space="preserve"> ответственный за оформление и реализацию НПО</w:t>
            </w:r>
          </w:p>
        </w:tc>
      </w:tr>
    </w:tbl>
    <w:p w14:paraId="9E000000">
      <w:pPr>
        <w:spacing w:after="200" w:line="276" w:lineRule="auto"/>
        <w:ind/>
        <w:rPr>
          <w:rFonts w:ascii="Times New Roman" w:hAnsi="Times New Roman"/>
          <w:sz w:val="24"/>
        </w:rPr>
      </w:pPr>
    </w:p>
    <w:p w14:paraId="9F000000"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br w:type="page"/>
      </w:r>
    </w:p>
    <w:p w14:paraId="A0000000">
      <w:pPr>
        <w:spacing w:after="200" w:line="276" w:lineRule="auto"/>
        <w:ind/>
        <w:rPr>
          <w:rFonts w:ascii="Times New Roman" w:hAnsi="Times New Roman"/>
          <w:b w:val="1"/>
          <w:sz w:val="24"/>
        </w:rPr>
      </w:pPr>
    </w:p>
    <w:tbl>
      <w:tblPr>
        <w:tblStyle w:val="Style_6"/>
        <w:tblInd w:type="dxa" w:w="-3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1"/>
        <w:gridCol w:w="1949"/>
        <w:gridCol w:w="12155"/>
      </w:tblGrid>
      <w:tr>
        <w:trPr>
          <w:trHeight w:hRule="atLeast" w:val="1458"/>
        </w:trPr>
        <w:tc>
          <w:tcPr>
            <w:tcW w:type="dxa" w:w="4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</w:t>
            </w:r>
          </w:p>
        </w:tc>
        <w:tc>
          <w:tcPr>
            <w:tcW w:type="dxa" w:w="1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Организация заявитель</w:t>
            </w:r>
          </w:p>
        </w:tc>
        <w:tc>
          <w:tcPr>
            <w:tcW w:type="dxa" w:w="1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детский сад №71 «Огонек» общеразвивающего вида г. Улан-Удэ, </w:t>
            </w:r>
          </w:p>
          <w:p w14:paraId="A400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детский сад №72 «Аленушка» комбинированного вида г. Улан-Удэ </w:t>
            </w:r>
          </w:p>
          <w:p w14:paraId="A500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автономное дошкольное образовательное учреждение «Детский сад №111 «Дашенька» г. Улан-Удэ</w:t>
            </w:r>
          </w:p>
        </w:tc>
      </w:tr>
      <w:tr>
        <w:trPr>
          <w:trHeight w:hRule="atLeast" w:val="557"/>
        </w:trPr>
        <w:tc>
          <w:tcPr>
            <w:tcW w:type="dxa" w:w="4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9.1</w:t>
            </w:r>
          </w:p>
        </w:tc>
        <w:tc>
          <w:tcPr>
            <w:tcW w:type="dxa" w:w="1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Адрес организации</w:t>
            </w:r>
          </w:p>
        </w:tc>
        <w:tc>
          <w:tcPr>
            <w:tcW w:type="dxa" w:w="1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</w:rPr>
              <w:t>МБДОУ №</w:t>
            </w:r>
            <w:r>
              <w:rPr>
                <w:rFonts w:ascii="Times New Roman" w:hAnsi="Times New Roman"/>
                <w:color w:themeColor="text1" w:val="000000"/>
              </w:rPr>
              <w:t>72 «Алёнушка»- Пестеля 37А</w:t>
            </w:r>
          </w:p>
          <w:p w14:paraId="A9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</w:rPr>
              <w:t xml:space="preserve">МБДОУ№71 «Огонёк» -ул. </w:t>
            </w:r>
            <w:r>
              <w:rPr>
                <w:rFonts w:ascii="Times New Roman" w:hAnsi="Times New Roman"/>
                <w:color w:themeColor="text1" w:val="000000"/>
              </w:rPr>
              <w:t>Чертенкова</w:t>
            </w:r>
            <w:r>
              <w:rPr>
                <w:rFonts w:ascii="Times New Roman" w:hAnsi="Times New Roman"/>
                <w:color w:themeColor="text1" w:val="000000"/>
              </w:rPr>
              <w:t>, 1А, Улан-Удэ</w:t>
            </w:r>
          </w:p>
          <w:p w14:paraId="AA000000">
            <w:pPr>
              <w:rPr>
                <w:rFonts w:ascii="Times New Roman" w:hAnsi="Times New Roman"/>
                <w:color w:themeColor="text1" w:val="000000"/>
                <w:sz w:val="21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</w:rPr>
              <w:t xml:space="preserve">МАДОУ№111 «Дашенька» 1 корпус- </w:t>
            </w:r>
            <w:r>
              <w:rPr>
                <w:rFonts w:ascii="Times New Roman" w:hAnsi="Times New Roman"/>
                <w:color w:themeColor="text1" w:val="000000"/>
                <w:sz w:val="21"/>
                <w:highlight w:val="white"/>
              </w:rPr>
              <w:t>ул. Московская, 2 пр. 50-летия Октября, 38 "А"</w:t>
            </w:r>
          </w:p>
          <w:p w14:paraId="AB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color w:themeColor="text1" w:val="000000"/>
                <w:sz w:val="21"/>
                <w:highlight w:val="white"/>
              </w:rPr>
              <w:t>2 корпус -</w:t>
            </w:r>
            <w:r>
              <w:rPr>
                <w:rFonts w:ascii="Times New Roman" w:hAnsi="Times New Roman"/>
                <w:color w:themeColor="text1" w:val="000000"/>
                <w:sz w:val="21"/>
                <w:highlight w:val="white"/>
              </w:rPr>
              <w:t>просп. 50 лет Октября, 38А, Улан-Удэ</w:t>
            </w:r>
          </w:p>
        </w:tc>
      </w:tr>
      <w:tr>
        <w:trPr>
          <w:trHeight w:hRule="atLeast" w:val="777"/>
        </w:trPr>
        <w:tc>
          <w:tcPr>
            <w:tcW w:type="dxa" w:w="4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9.2</w:t>
            </w:r>
          </w:p>
        </w:tc>
        <w:tc>
          <w:tcPr>
            <w:tcW w:type="dxa" w:w="1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Контактный телефон организации.</w:t>
            </w:r>
          </w:p>
        </w:tc>
        <w:tc>
          <w:tcPr>
            <w:tcW w:type="dxa" w:w="1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МБДОУ№71 «Огонёк»</w:t>
            </w:r>
            <w:r>
              <w:rPr>
                <w:rFonts w:ascii="Times New Roman" w:hAnsi="Times New Roman"/>
              </w:rPr>
              <w:t xml:space="preserve"> -</w:t>
            </w:r>
            <w:r>
              <w:rPr>
                <w:rFonts w:ascii="Times New Roman" w:hAnsi="Times New Roman"/>
              </w:rPr>
              <w:t>+7 (3012) 46-44-87</w:t>
            </w:r>
          </w:p>
          <w:p w14:paraId="A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МАДОУ№111 «Дашенька» -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+7(301) 244-26-22</w:t>
            </w:r>
          </w:p>
          <w:p w14:paraId="B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МБДОУ№72 «Алёнушка» - </w:t>
            </w:r>
            <w:r>
              <w:rPr>
                <w:rFonts w:ascii="Times New Roman" w:hAnsi="Times New Roman"/>
              </w:rPr>
              <w:t>+7 (3012) 44-65-00,+7 (3012) 44-65-10</w:t>
            </w:r>
          </w:p>
        </w:tc>
      </w:tr>
      <w:tr>
        <w:trPr>
          <w:trHeight w:hRule="atLeast" w:val="684"/>
        </w:trPr>
        <w:tc>
          <w:tcPr>
            <w:tcW w:type="dxa" w:w="4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9.8</w:t>
            </w:r>
          </w:p>
        </w:tc>
        <w:tc>
          <w:tcPr>
            <w:tcW w:type="dxa" w:w="1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Основные реализованные проекты за период с 2020-2021г</w:t>
            </w:r>
          </w:p>
        </w:tc>
        <w:tc>
          <w:tcPr>
            <w:tcW w:type="dxa" w:w="1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рамках реализации проекта прошли районные семинары на платформе </w:t>
            </w:r>
            <w:r>
              <w:rPr>
                <w:rFonts w:ascii="Times New Roman" w:hAnsi="Times New Roman"/>
              </w:rPr>
              <w:t>zoom</w:t>
            </w:r>
            <w:r>
              <w:rPr>
                <w:rFonts w:ascii="Times New Roman" w:hAnsi="Times New Roman"/>
              </w:rPr>
              <w:t xml:space="preserve"> среди педагогов ДОО  Железнодорожного района города Улан-Удэ</w:t>
            </w:r>
            <w:r>
              <w:rPr>
                <w:rFonts w:ascii="Times New Roman" w:hAnsi="Times New Roman"/>
              </w:rPr>
              <w:t>.</w:t>
            </w:r>
          </w:p>
          <w:p w14:paraId="B4000000">
            <w:pPr>
              <w:rPr>
                <w:rFonts w:ascii="Times New Roman" w:hAnsi="Times New Roman"/>
              </w:rPr>
            </w:pPr>
          </w:p>
        </w:tc>
      </w:tr>
    </w:tbl>
    <w:p w14:paraId="B5000000"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br w:type="page"/>
      </w:r>
    </w:p>
    <w:p w14:paraId="B6000000">
      <w:pPr>
        <w:rPr>
          <w:rFonts w:ascii="Times New Roman" w:hAnsi="Times New Roman"/>
          <w:b w:val="1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6832321</wp:posOffset>
            </wp:positionH>
            <wp:positionV relativeFrom="paragraph">
              <wp:posOffset>2241480</wp:posOffset>
            </wp:positionV>
            <wp:extent cx="3591728" cy="2155037"/>
            <wp:wrapNone/>
            <wp:docPr id="4" name="Picture 4"/>
            <a:graphic>
              <a:graphicData uri="http://schemas.openxmlformats.org/drawingml/2006/picture">
                <pic:pic>
                  <pic:nvPicPr>
                    <pic:cNvPr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3591728" cy="2155037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6828715</wp:posOffset>
            </wp:positionH>
            <wp:positionV relativeFrom="paragraph">
              <wp:posOffset>-416971</wp:posOffset>
            </wp:positionV>
            <wp:extent cx="2689484" cy="2470962"/>
            <wp:wrapNone/>
            <wp:docPr id="6" name="Picture 6"/>
            <a:graphic>
              <a:graphicData uri="http://schemas.openxmlformats.org/drawingml/2006/picture">
                <pic:pic>
                  <pic:nvPicPr>
                    <pic:cNvPr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2689484" cy="2470962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2710235</wp:posOffset>
            </wp:positionH>
            <wp:positionV relativeFrom="paragraph">
              <wp:posOffset>2032189</wp:posOffset>
            </wp:positionV>
            <wp:extent cx="3240952" cy="2430715"/>
            <wp:wrapNone/>
            <wp:docPr id="8" name="Picture 8"/>
            <a:graphic>
              <a:graphicData uri="http://schemas.openxmlformats.org/drawingml/2006/picture">
                <pic:pic>
                  <pic:nvPicPr>
                    <pic:cNvPr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3240952" cy="243071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2815821</wp:posOffset>
            </wp:positionH>
            <wp:positionV relativeFrom="paragraph">
              <wp:posOffset>-283720</wp:posOffset>
            </wp:positionV>
            <wp:extent cx="3164795" cy="2373597"/>
            <wp:wrapNone/>
            <wp:docPr id="10" name="Picture 10"/>
            <a:graphic>
              <a:graphicData uri="http://schemas.openxmlformats.org/drawingml/2006/picture">
                <pic:pic>
                  <pic:nvPicPr>
                    <pic:cNvPr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3164795" cy="2373597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posOffset>-354367</wp:posOffset>
            </wp:positionH>
            <wp:positionV relativeFrom="paragraph">
              <wp:posOffset>2324244</wp:posOffset>
            </wp:positionV>
            <wp:extent cx="2760391" cy="2070293"/>
            <wp:wrapNone/>
            <wp:docPr id="12" name="Picture 12"/>
            <a:graphic>
              <a:graphicData uri="http://schemas.openxmlformats.org/drawingml/2006/picture">
                <pic:pic>
                  <pic:nvPicPr>
                    <pic:cNvPr id="11" name="Picture 11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2760391" cy="2070293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-288763</wp:posOffset>
            </wp:positionH>
            <wp:positionV relativeFrom="paragraph">
              <wp:posOffset>-323775</wp:posOffset>
            </wp:positionV>
            <wp:extent cx="2856489" cy="2142225"/>
            <wp:wrapNone/>
            <wp:docPr id="14" name="Picture 14"/>
            <a:graphic>
              <a:graphicData uri="http://schemas.openxmlformats.org/drawingml/2006/picture">
                <pic:pic>
                  <pic:nvPicPr>
                    <pic:cNvPr id="13" name="Picture 13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2856489" cy="21422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</w:rPr>
        <w:br w:type="page"/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2009645</wp:posOffset>
            </wp:positionH>
            <wp:positionV relativeFrom="paragraph">
              <wp:posOffset>2579838</wp:posOffset>
            </wp:positionV>
            <wp:extent cx="3908819" cy="2931614"/>
            <wp:wrapNone/>
            <wp:docPr id="16" name="Picture 16"/>
            <a:graphic>
              <a:graphicData uri="http://schemas.openxmlformats.org/drawingml/2006/picture">
                <pic:pic>
                  <pic:nvPicPr>
                    <pic:cNvPr id="15" name="Picture 15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3908819" cy="2931614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3751316</wp:posOffset>
            </wp:positionH>
            <wp:positionV relativeFrom="paragraph">
              <wp:posOffset>-317161</wp:posOffset>
            </wp:positionV>
            <wp:extent cx="3400935" cy="2550567"/>
            <wp:wrapNone/>
            <wp:docPr id="18" name="Picture 18"/>
            <a:graphic>
              <a:graphicData uri="http://schemas.openxmlformats.org/drawingml/2006/picture">
                <pic:pic>
                  <pic:nvPicPr>
                    <pic:cNvPr id="17" name="Picture 17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3400935" cy="2550567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-126180</wp:posOffset>
            </wp:positionH>
            <wp:positionV relativeFrom="paragraph">
              <wp:posOffset>-290176</wp:posOffset>
            </wp:positionV>
            <wp:extent cx="3416934" cy="2562860"/>
            <wp:wrapNone/>
            <wp:docPr id="20" name="Picture 20"/>
            <a:graphic>
              <a:graphicData uri="http://schemas.openxmlformats.org/drawingml/2006/picture">
                <pic:pic>
                  <pic:nvPicPr>
                    <pic:cNvPr id="19" name="Picture 19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3416934" cy="25628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</w:rPr>
        <w:br w:type="page"/>
      </w:r>
    </w:p>
    <w:p w14:paraId="B7000000">
      <w:pPr>
        <w:spacing w:after="0"/>
        <w:ind/>
        <w:jc w:val="center"/>
        <w:rPr>
          <w:rFonts w:ascii="Times New Roman" w:hAnsi="Times New Roman"/>
          <w:b w:val="1"/>
        </w:rPr>
      </w:pPr>
    </w:p>
    <w:p w14:paraId="B8000000">
      <w:pPr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10. Календарный план реализации проекта</w:t>
      </w:r>
    </w:p>
    <w:p w14:paraId="B9000000">
      <w:pPr>
        <w:spacing w:after="0"/>
        <w:ind/>
        <w:jc w:val="center"/>
        <w:rPr>
          <w:rFonts w:ascii="Times New Roman" w:hAnsi="Times New Roman"/>
          <w:b w:val="1"/>
        </w:rPr>
      </w:pPr>
    </w:p>
    <w:tbl>
      <w:tblPr>
        <w:tblStyle w:val="Style_1"/>
        <w:tblLayout w:type="fixed"/>
      </w:tblPr>
      <w:tblGrid>
        <w:gridCol w:w="846"/>
        <w:gridCol w:w="2977"/>
        <w:gridCol w:w="3456"/>
        <w:gridCol w:w="1505"/>
        <w:gridCol w:w="1701"/>
        <w:gridCol w:w="4075"/>
      </w:tblGrid>
      <w:tr>
        <w:tc>
          <w:tcPr>
            <w:tcW w:type="dxa" w:w="846"/>
          </w:tcPr>
          <w:p w14:paraId="BA000000">
            <w:pPr>
              <w:ind w:firstLine="0" w:left="-11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2977"/>
          </w:tcPr>
          <w:p w14:paraId="BB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Решаемая задача</w:t>
            </w:r>
          </w:p>
        </w:tc>
        <w:tc>
          <w:tcPr>
            <w:tcW w:type="dxa" w:w="3456"/>
          </w:tcPr>
          <w:p w14:paraId="BC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Мероприятие, его содержание, место проведения</w:t>
            </w:r>
          </w:p>
        </w:tc>
        <w:tc>
          <w:tcPr>
            <w:tcW w:type="dxa" w:w="1505"/>
          </w:tcPr>
          <w:p w14:paraId="BD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начала</w:t>
            </w:r>
          </w:p>
        </w:tc>
        <w:tc>
          <w:tcPr>
            <w:tcW w:type="dxa" w:w="1701"/>
          </w:tcPr>
          <w:p w14:paraId="BE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окончания</w:t>
            </w:r>
          </w:p>
        </w:tc>
        <w:tc>
          <w:tcPr>
            <w:tcW w:type="dxa" w:w="4075"/>
          </w:tcPr>
          <w:p w14:paraId="BF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Ожидаемый результат</w:t>
            </w:r>
          </w:p>
        </w:tc>
      </w:tr>
      <w:tr>
        <w:tc>
          <w:tcPr>
            <w:tcW w:type="dxa" w:w="846"/>
          </w:tcPr>
          <w:p w14:paraId="C0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1.</w:t>
            </w:r>
          </w:p>
        </w:tc>
        <w:tc>
          <w:tcPr>
            <w:tcW w:type="dxa" w:w="2977"/>
          </w:tcPr>
          <w:p w14:paraId="C1000000">
            <w:pPr>
              <w:rPr>
                <w:rFonts w:ascii="Times New Roman" w:hAnsi="Times New Roman"/>
                <w:b w:val="1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Разработка нормативно-правовой документации деятельности образовательной сети и условий ее функционирования.</w:t>
            </w:r>
          </w:p>
        </w:tc>
        <w:tc>
          <w:tcPr>
            <w:tcW w:type="dxa" w:w="3456"/>
          </w:tcPr>
          <w:p w14:paraId="C2000000">
            <w:pPr>
              <w:ind/>
              <w:jc w:val="both"/>
              <w:rPr>
                <w:rFonts w:ascii="Times New Roman" w:hAnsi="Times New Roman"/>
                <w:b w:val="1"/>
                <w:highlight w:val="yellow"/>
              </w:rPr>
            </w:pPr>
            <w:r>
              <w:rPr>
                <w:rFonts w:ascii="Times New Roman" w:hAnsi="Times New Roman"/>
                <w:b w:val="1"/>
                <w:highlight w:val="yellow"/>
              </w:rPr>
              <w:t>Подготовительный этап:</w:t>
            </w:r>
          </w:p>
          <w:p w14:paraId="C3000000">
            <w:pPr>
              <w:ind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Разработка нормативно –правовой документации:</w:t>
            </w:r>
          </w:p>
          <w:p w14:paraId="C4000000">
            <w:pPr>
              <w:pStyle w:val="Style_2"/>
              <w:numPr>
                <w:ilvl w:val="0"/>
                <w:numId w:val="4"/>
              </w:numPr>
              <w:ind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Договор</w:t>
            </w:r>
            <w:r>
              <w:rPr>
                <w:rFonts w:ascii="Times New Roman" w:hAnsi="Times New Roman"/>
                <w:highlight w:val="yellow"/>
              </w:rPr>
              <w:t xml:space="preserve"> о сотрудничестве</w:t>
            </w:r>
            <w:r>
              <w:rPr>
                <w:rFonts w:ascii="Times New Roman" w:hAnsi="Times New Roman"/>
                <w:highlight w:val="yellow"/>
              </w:rPr>
              <w:t xml:space="preserve"> с партнёрами проекта</w:t>
            </w:r>
          </w:p>
          <w:p w14:paraId="C5000000">
            <w:pPr>
              <w:pStyle w:val="Style_2"/>
              <w:numPr>
                <w:ilvl w:val="0"/>
                <w:numId w:val="4"/>
              </w:numPr>
              <w:ind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Д</w:t>
            </w:r>
            <w:r>
              <w:rPr>
                <w:rFonts w:ascii="Times New Roman" w:hAnsi="Times New Roman"/>
                <w:highlight w:val="yellow"/>
              </w:rPr>
              <w:t>оговор</w:t>
            </w:r>
            <w:r>
              <w:rPr>
                <w:rFonts w:ascii="Times New Roman" w:hAnsi="Times New Roman"/>
                <w:highlight w:val="yellow"/>
              </w:rPr>
              <w:t xml:space="preserve"> для участников проекта</w:t>
            </w:r>
          </w:p>
          <w:p w14:paraId="C6000000">
            <w:pPr>
              <w:pStyle w:val="Style_2"/>
              <w:numPr>
                <w:ilvl w:val="0"/>
                <w:numId w:val="4"/>
              </w:numPr>
              <w:ind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 xml:space="preserve">Привлечение новых участников проекта через </w:t>
            </w:r>
          </w:p>
          <w:p w14:paraId="C7000000">
            <w:pPr>
              <w:pStyle w:val="Style_2"/>
              <w:ind w:firstLine="0" w:left="36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 xml:space="preserve"> Установочную конференцию по теме «Знакомство с проектом» </w:t>
            </w:r>
          </w:p>
          <w:p w14:paraId="C8000000">
            <w:pPr>
              <w:pStyle w:val="Style_2"/>
              <w:numPr>
                <w:ilvl w:val="0"/>
                <w:numId w:val="4"/>
              </w:numPr>
              <w:ind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 xml:space="preserve">Провести </w:t>
            </w:r>
            <w:r>
              <w:rPr>
                <w:rFonts w:ascii="Times New Roman" w:hAnsi="Times New Roman"/>
                <w:highlight w:val="yellow"/>
              </w:rPr>
              <w:t>гугл-опрос</w:t>
            </w:r>
            <w:r>
              <w:rPr>
                <w:rFonts w:ascii="Times New Roman" w:hAnsi="Times New Roman"/>
                <w:highlight w:val="yellow"/>
              </w:rPr>
              <w:t xml:space="preserve"> с целевой группой по предложенным темам в проекте и определить категории слушателей.</w:t>
            </w:r>
          </w:p>
          <w:p w14:paraId="C9000000">
            <w:pPr>
              <w:ind/>
              <w:jc w:val="both"/>
              <w:rPr>
                <w:rFonts w:ascii="Times New Roman" w:hAnsi="Times New Roman"/>
                <w:b w:val="1"/>
                <w:highlight w:val="yellow"/>
              </w:rPr>
            </w:pPr>
          </w:p>
        </w:tc>
        <w:tc>
          <w:tcPr>
            <w:tcW w:type="dxa" w:w="1505"/>
          </w:tcPr>
          <w:p w14:paraId="CA000000">
            <w:pPr>
              <w:ind/>
              <w:jc w:val="center"/>
              <w:rPr>
                <w:rFonts w:ascii="Times New Roman" w:hAnsi="Times New Roman"/>
                <w:b w:val="1"/>
                <w:highlight w:val="yellow"/>
              </w:rPr>
            </w:pPr>
            <w:r>
              <w:rPr>
                <w:rFonts w:ascii="Times New Roman" w:hAnsi="Times New Roman"/>
                <w:b w:val="1"/>
                <w:highlight w:val="yellow"/>
              </w:rPr>
              <w:t>Сентябрь</w:t>
            </w:r>
          </w:p>
        </w:tc>
        <w:tc>
          <w:tcPr>
            <w:tcW w:type="dxa" w:w="1701"/>
          </w:tcPr>
          <w:p w14:paraId="CB000000">
            <w:pPr>
              <w:ind/>
              <w:jc w:val="center"/>
              <w:rPr>
                <w:rFonts w:ascii="Times New Roman" w:hAnsi="Times New Roman"/>
                <w:b w:val="1"/>
                <w:highlight w:val="yellow"/>
              </w:rPr>
            </w:pPr>
            <w:r>
              <w:rPr>
                <w:rFonts w:ascii="Times New Roman" w:hAnsi="Times New Roman"/>
                <w:b w:val="1"/>
                <w:highlight w:val="yellow"/>
              </w:rPr>
              <w:t xml:space="preserve">Октябрь </w:t>
            </w:r>
          </w:p>
        </w:tc>
        <w:tc>
          <w:tcPr>
            <w:tcW w:type="dxa" w:w="4075"/>
          </w:tcPr>
          <w:p w14:paraId="CC000000">
            <w:pPr>
              <w:pStyle w:val="Style_2"/>
              <w:numPr>
                <w:ilvl w:val="0"/>
                <w:numId w:val="5"/>
              </w:numPr>
              <w:ind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Расширение сети с привлечением новых участников.</w:t>
            </w:r>
          </w:p>
          <w:p w14:paraId="CD000000">
            <w:pPr>
              <w:pStyle w:val="Style_2"/>
              <w:numPr>
                <w:ilvl w:val="0"/>
                <w:numId w:val="5"/>
              </w:numPr>
              <w:ind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Заключение договоров с партнёрами проекта и его участниками.</w:t>
            </w:r>
          </w:p>
          <w:p w14:paraId="CE000000">
            <w:pPr>
              <w:pStyle w:val="Style_2"/>
              <w:numPr>
                <w:ilvl w:val="0"/>
                <w:numId w:val="5"/>
              </w:numPr>
              <w:ind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Определение тематики семинаров, целевых групп, сроки их проведения.</w:t>
            </w:r>
          </w:p>
        </w:tc>
      </w:tr>
      <w:tr>
        <w:tc>
          <w:tcPr>
            <w:tcW w:type="dxa" w:w="846"/>
          </w:tcPr>
          <w:p w14:paraId="CF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2.</w:t>
            </w:r>
          </w:p>
        </w:tc>
        <w:tc>
          <w:tcPr>
            <w:tcW w:type="dxa" w:w="2977"/>
          </w:tcPr>
          <w:p w14:paraId="D000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456"/>
          </w:tcPr>
          <w:p w14:paraId="D1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Основной этап:</w:t>
            </w:r>
          </w:p>
          <w:p w14:paraId="D200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505"/>
          </w:tcPr>
          <w:p w14:paraId="D3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Декабрь</w:t>
            </w:r>
          </w:p>
        </w:tc>
        <w:tc>
          <w:tcPr>
            <w:tcW w:type="dxa" w:w="1701"/>
          </w:tcPr>
          <w:p w14:paraId="D4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Декабрь</w:t>
            </w:r>
          </w:p>
        </w:tc>
        <w:tc>
          <w:tcPr>
            <w:tcW w:type="dxa" w:w="4075"/>
          </w:tcPr>
          <w:p w14:paraId="D5000000">
            <w:pPr>
              <w:ind/>
              <w:jc w:val="both"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846"/>
          </w:tcPr>
          <w:p w14:paraId="D6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2977"/>
          </w:tcPr>
          <w:p w14:paraId="D7000000">
            <w:pPr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56"/>
          </w:tcPr>
          <w:p w14:paraId="D800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505"/>
          </w:tcPr>
          <w:p w14:paraId="D9000000">
            <w:pPr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Февраль</w:t>
            </w:r>
          </w:p>
        </w:tc>
        <w:tc>
          <w:tcPr>
            <w:tcW w:type="dxa" w:w="1701"/>
          </w:tcPr>
          <w:p w14:paraId="DA000000">
            <w:pPr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Февраль</w:t>
            </w:r>
          </w:p>
        </w:tc>
        <w:tc>
          <w:tcPr>
            <w:tcW w:type="dxa" w:w="4075"/>
          </w:tcPr>
          <w:p w14:paraId="DB000000">
            <w:pPr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46"/>
          </w:tcPr>
          <w:p w14:paraId="DC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2977"/>
          </w:tcPr>
          <w:p w14:paraId="DD000000">
            <w:pPr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56"/>
          </w:tcPr>
          <w:p w14:paraId="DE00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505"/>
          </w:tcPr>
          <w:p w14:paraId="DF000000">
            <w:pPr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Апрель</w:t>
            </w:r>
          </w:p>
        </w:tc>
        <w:tc>
          <w:tcPr>
            <w:tcW w:type="dxa" w:w="1701"/>
          </w:tcPr>
          <w:p w14:paraId="E0000000">
            <w:pPr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Апрель</w:t>
            </w:r>
          </w:p>
        </w:tc>
        <w:tc>
          <w:tcPr>
            <w:tcW w:type="dxa" w:w="4075"/>
          </w:tcPr>
          <w:p w14:paraId="E1000000">
            <w:pPr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46"/>
          </w:tcPr>
          <w:p w14:paraId="E2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type="dxa" w:w="2977"/>
          </w:tcPr>
          <w:p w14:paraId="E3000000">
            <w:pPr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56"/>
          </w:tcPr>
          <w:p w14:paraId="E4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Заключительный этап:</w:t>
            </w:r>
          </w:p>
          <w:p w14:paraId="E500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  <w:p w14:paraId="E600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  <w:p w14:paraId="E700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  <w:p w14:paraId="E8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Итоговое мероприятие </w:t>
            </w:r>
          </w:p>
          <w:p w14:paraId="E9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«Летняя интеллектуальная школа» для педагогов ДО «Современный педагог»</w:t>
            </w:r>
          </w:p>
        </w:tc>
        <w:tc>
          <w:tcPr>
            <w:tcW w:type="dxa" w:w="1505"/>
          </w:tcPr>
          <w:p w14:paraId="EA000000">
            <w:pPr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июнь</w:t>
            </w:r>
          </w:p>
        </w:tc>
        <w:tc>
          <w:tcPr>
            <w:tcW w:type="dxa" w:w="1701"/>
          </w:tcPr>
          <w:p w14:paraId="EB000000">
            <w:pPr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июнь</w:t>
            </w:r>
          </w:p>
        </w:tc>
        <w:tc>
          <w:tcPr>
            <w:tcW w:type="dxa" w:w="4075"/>
          </w:tcPr>
          <w:p w14:paraId="EC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ЛИШ (летняя интеллектуальная школа) – площадка, предоставляющая дополнительную возможность педагогам дошкольных организации транслировать педагогический опыт, для отработки новых технологий педагогической, социальной, методической работы.</w:t>
            </w:r>
          </w:p>
          <w:p w14:paraId="ED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Повышение интереса педагогов к профессии, к исследовательской деятельности.</w:t>
            </w:r>
          </w:p>
          <w:p w14:paraId="EE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развитие и усовершенствование </w:t>
            </w:r>
            <w:r>
              <w:rPr>
                <w:rFonts w:ascii="Times New Roman" w:hAnsi="Times New Roman"/>
              </w:rPr>
              <w:t>умения педагогов критически мыслить и работать в команде</w:t>
            </w:r>
          </w:p>
          <w:p w14:paraId="EF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Публикация статей о деятельности ЛИШ в изданиях различного уровня: муниципального, районного, сети </w:t>
            </w:r>
            <w:r>
              <w:rPr>
                <w:rFonts w:ascii="Times New Roman" w:hAnsi="Times New Roman"/>
              </w:rPr>
              <w:t>Internet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c>
          <w:tcPr>
            <w:tcW w:type="dxa" w:w="846"/>
          </w:tcPr>
          <w:p w14:paraId="F0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type="dxa" w:w="2977"/>
          </w:tcPr>
          <w:p w14:paraId="F1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нормативно-правовой документации деятельности образовательной сети и условий ее функционирования.</w:t>
            </w:r>
          </w:p>
        </w:tc>
        <w:tc>
          <w:tcPr>
            <w:tcW w:type="dxa" w:w="3456"/>
          </w:tcPr>
          <w:p w14:paraId="F2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Подведение итогов, Гугл-анкета.</w:t>
            </w:r>
          </w:p>
        </w:tc>
        <w:tc>
          <w:tcPr>
            <w:tcW w:type="dxa" w:w="1505"/>
          </w:tcPr>
          <w:p w14:paraId="F3000000">
            <w:pPr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июнь</w:t>
            </w:r>
          </w:p>
        </w:tc>
        <w:tc>
          <w:tcPr>
            <w:tcW w:type="dxa" w:w="1701"/>
          </w:tcPr>
          <w:p w14:paraId="F4000000">
            <w:pPr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июнь</w:t>
            </w:r>
          </w:p>
        </w:tc>
        <w:tc>
          <w:tcPr>
            <w:tcW w:type="dxa" w:w="4075"/>
          </w:tcPr>
          <w:p w14:paraId="F5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Мониторинг профессиональных дефицитов. 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одведение итогов сетевого партнерства.</w:t>
            </w:r>
          </w:p>
        </w:tc>
      </w:tr>
    </w:tbl>
    <w:p w14:paraId="F6000000">
      <w:pPr>
        <w:spacing w:after="0"/>
        <w:ind/>
        <w:jc w:val="both"/>
        <w:rPr>
          <w:rFonts w:ascii="Times New Roman" w:hAnsi="Times New Roman"/>
        </w:rPr>
      </w:pPr>
    </w:p>
    <w:p w14:paraId="F700000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F8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11.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Бюджет проекта</w:t>
      </w:r>
    </w:p>
    <w:tbl>
      <w:tblPr>
        <w:tblStyle w:val="Style_6"/>
        <w:tblLayout w:type="fixed"/>
      </w:tblPr>
      <w:tblGrid>
        <w:gridCol w:w="776"/>
        <w:gridCol w:w="5195"/>
        <w:gridCol w:w="2732"/>
        <w:gridCol w:w="3203"/>
        <w:gridCol w:w="2352"/>
      </w:tblGrid>
      <w:tr>
        <w:trPr>
          <w:trHeight w:hRule="atLeast" w:val="170"/>
        </w:trPr>
        <w:tc>
          <w:tcPr>
            <w:tcW w:type="dxa" w:w="776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F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№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br/>
            </w:r>
          </w:p>
          <w:p w14:paraId="F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type="dxa" w:w="5195"/>
            <w:vMerge w:val="restart"/>
            <w:tcBorders>
              <w:top w:color="000000" w:sz="4" w:val="single"/>
              <w:left w:sz="4" w:val="nil"/>
              <w:right w:color="000000" w:sz="4" w:val="single"/>
            </w:tcBorders>
            <w:vAlign w:val="center"/>
          </w:tcPr>
          <w:p w14:paraId="F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Наименование статьи</w:t>
            </w:r>
          </w:p>
        </w:tc>
        <w:tc>
          <w:tcPr>
            <w:tcW w:type="dxa" w:w="27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Общая стоимость </w:t>
            </w:r>
          </w:p>
        </w:tc>
        <w:tc>
          <w:tcPr>
            <w:tcW w:type="dxa" w:w="32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Софинансирование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(если имеется)</w:t>
            </w:r>
          </w:p>
        </w:tc>
        <w:tc>
          <w:tcPr>
            <w:tcW w:type="dxa" w:w="2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Запрашиваемая сумма </w:t>
            </w:r>
          </w:p>
        </w:tc>
      </w:tr>
      <w:tr>
        <w:trPr>
          <w:trHeight w:hRule="atLeast" w:val="342"/>
        </w:trPr>
        <w:tc>
          <w:tcPr>
            <w:tcW w:type="dxa" w:w="77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5195"/>
            <w:gridSpan w:val="1"/>
            <w:vMerge w:val="continue"/>
            <w:tcBorders>
              <w:top w:color="000000" w:sz="4" w:val="single"/>
              <w:left w:sz="4" w:val="nil"/>
              <w:right w:color="000000" w:sz="4" w:val="single"/>
            </w:tcBorders>
            <w:vAlign w:val="center"/>
          </w:tcPr>
          <w:p/>
        </w:tc>
        <w:tc>
          <w:tcPr>
            <w:tcW w:type="dxa" w:w="2732"/>
            <w:tcBorders>
              <w:top w:sz="4" w:val="nil"/>
              <w:left w:sz="4" w:val="nil"/>
              <w:bottom w:color="000000" w:sz="8" w:val="single"/>
              <w:right w:color="000000" w:sz="4" w:val="single"/>
            </w:tcBorders>
            <w:vAlign w:val="center"/>
          </w:tcPr>
          <w:p w14:paraId="F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(руб.)</w:t>
            </w:r>
          </w:p>
        </w:tc>
        <w:tc>
          <w:tcPr>
            <w:tcW w:type="dxa" w:w="3203"/>
            <w:tcBorders>
              <w:top w:sz="4" w:val="nil"/>
              <w:left w:sz="4" w:val="nil"/>
              <w:bottom w:color="000000" w:sz="8" w:val="single"/>
              <w:right w:color="000000" w:sz="4" w:val="single"/>
            </w:tcBorders>
            <w:vAlign w:val="center"/>
          </w:tcPr>
          <w:p w14:paraId="0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(руб.)</w:t>
            </w:r>
          </w:p>
        </w:tc>
        <w:tc>
          <w:tcPr>
            <w:tcW w:type="dxa" w:w="2352"/>
            <w:tcBorders>
              <w:top w:sz="4" w:val="nil"/>
              <w:left w:sz="4" w:val="nil"/>
              <w:bottom w:color="000000" w:sz="8" w:val="single"/>
              <w:right w:color="000000" w:sz="4" w:val="single"/>
            </w:tcBorders>
            <w:vAlign w:val="center"/>
          </w:tcPr>
          <w:p w14:paraId="0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(руб.)</w:t>
            </w:r>
          </w:p>
        </w:tc>
      </w:tr>
      <w:tr>
        <w:trPr>
          <w:trHeight w:hRule="atLeast" w:val="41"/>
        </w:trPr>
        <w:tc>
          <w:tcPr>
            <w:tcW w:type="dxa" w:w="776"/>
            <w:tcBorders>
              <w:top w:sz="4" w:val="nil"/>
              <w:left w:color="000000" w:sz="4" w:val="single"/>
              <w:bottom w:color="000000" w:sz="8" w:val="single"/>
              <w:right w:color="000000" w:sz="4" w:val="single"/>
            </w:tcBorders>
          </w:tcPr>
          <w:p w14:paraId="0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5195"/>
            <w:tcBorders>
              <w:top w:sz="4" w:val="nil"/>
              <w:left w:sz="4" w:val="nil"/>
              <w:bottom w:color="000000" w:sz="8" w:val="single"/>
              <w:right w:color="000000" w:sz="4" w:val="single"/>
            </w:tcBorders>
          </w:tcPr>
          <w:p w14:paraId="0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2732"/>
            <w:tcBorders>
              <w:top w:sz="4" w:val="nil"/>
              <w:left w:sz="4" w:val="nil"/>
              <w:bottom w:color="000000" w:sz="8" w:val="single"/>
              <w:right w:color="000000" w:sz="4" w:val="single"/>
            </w:tcBorders>
          </w:tcPr>
          <w:p w14:paraId="0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3203"/>
            <w:tcBorders>
              <w:top w:sz="4" w:val="nil"/>
              <w:left w:sz="4" w:val="nil"/>
              <w:bottom w:color="000000" w:sz="8" w:val="single"/>
              <w:right w:color="000000" w:sz="4" w:val="single"/>
            </w:tcBorders>
          </w:tcPr>
          <w:p w14:paraId="0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type="dxa" w:w="2352"/>
            <w:tcBorders>
              <w:top w:sz="4" w:val="nil"/>
              <w:left w:sz="4" w:val="nil"/>
              <w:bottom w:color="000000" w:sz="8" w:val="single"/>
              <w:right w:color="000000" w:sz="4" w:val="single"/>
            </w:tcBorders>
          </w:tcPr>
          <w:p w14:paraId="0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</w:tr>
      <w:tr>
        <w:trPr>
          <w:trHeight w:hRule="atLeast" w:val="41"/>
        </w:trPr>
        <w:tc>
          <w:tcPr>
            <w:tcW w:type="dxa" w:w="7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</w:t>
            </w:r>
          </w:p>
        </w:tc>
        <w:tc>
          <w:tcPr>
            <w:tcW w:type="dxa" w:w="519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08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Оплата труда </w:t>
            </w:r>
          </w:p>
        </w:tc>
        <w:tc>
          <w:tcPr>
            <w:tcW w:type="dxa" w:w="8287"/>
            <w:gridSpan w:val="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0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41"/>
        </w:trPr>
        <w:tc>
          <w:tcPr>
            <w:tcW w:type="dxa" w:w="7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</w:t>
            </w:r>
          </w:p>
        </w:tc>
        <w:tc>
          <w:tcPr>
            <w:tcW w:type="dxa" w:w="519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0B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Оплата труда штатных работников, включая НДФЛ</w:t>
            </w:r>
          </w:p>
        </w:tc>
        <w:tc>
          <w:tcPr>
            <w:tcW w:type="dxa" w:w="27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0C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type="dxa" w:w="320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0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type="dxa" w:w="23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0E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>
        <w:trPr>
          <w:trHeight w:hRule="atLeast" w:val="41"/>
        </w:trPr>
        <w:tc>
          <w:tcPr>
            <w:tcW w:type="dxa" w:w="776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519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0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Руководители </w:t>
            </w:r>
            <w:r>
              <w:rPr>
                <w:rFonts w:ascii="Times New Roman" w:hAnsi="Times New Roman"/>
                <w:color w:val="000000"/>
                <w:sz w:val="20"/>
              </w:rPr>
              <w:t>проекта</w:t>
            </w:r>
          </w:p>
        </w:tc>
        <w:tc>
          <w:tcPr>
            <w:tcW w:type="dxa" w:w="27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1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48120</w:t>
            </w:r>
          </w:p>
        </w:tc>
        <w:tc>
          <w:tcPr>
            <w:tcW w:type="dxa" w:w="320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2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type="dxa" w:w="23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3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48120</w:t>
            </w:r>
          </w:p>
        </w:tc>
      </w:tr>
      <w:tr>
        <w:trPr>
          <w:trHeight w:hRule="atLeast" w:val="278"/>
        </w:trPr>
        <w:tc>
          <w:tcPr>
            <w:tcW w:type="dxa" w:w="77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19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Специалисты проекта</w:t>
            </w:r>
          </w:p>
        </w:tc>
        <w:tc>
          <w:tcPr>
            <w:tcW w:type="dxa" w:w="27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5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48120</w:t>
            </w:r>
          </w:p>
        </w:tc>
        <w:tc>
          <w:tcPr>
            <w:tcW w:type="dxa" w:w="320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6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7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48120</w:t>
            </w:r>
          </w:p>
        </w:tc>
      </w:tr>
      <w:tr>
        <w:trPr>
          <w:trHeight w:hRule="atLeast" w:val="278"/>
        </w:trPr>
        <w:tc>
          <w:tcPr>
            <w:tcW w:type="dxa" w:w="776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19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8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7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320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A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B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41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1.2.</w:t>
            </w:r>
          </w:p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1D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Оплата привлеченных специалистов. </w:t>
            </w:r>
            <w:r>
              <w:rPr>
                <w:rFonts w:ascii="Times New Roman" w:hAnsi="Times New Roman"/>
                <w:color w:val="000000"/>
                <w:sz w:val="20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</w:rPr>
              <w:t>включая НДФЛ</w:t>
            </w:r>
          </w:p>
        </w:tc>
        <w:tc>
          <w:tcPr>
            <w:tcW w:type="dxa" w:w="27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E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15000</w:t>
            </w:r>
          </w:p>
        </w:tc>
        <w:tc>
          <w:tcPr>
            <w:tcW w:type="dxa" w:w="320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1F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20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17120</w:t>
            </w:r>
          </w:p>
        </w:tc>
      </w:tr>
      <w:tr>
        <w:trPr>
          <w:trHeight w:hRule="atLeast" w:val="41"/>
        </w:trPr>
        <w:tc>
          <w:tcPr>
            <w:tcW w:type="dxa" w:w="7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1.3</w:t>
            </w:r>
          </w:p>
        </w:tc>
        <w:tc>
          <w:tcPr>
            <w:tcW w:type="dxa" w:w="519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22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Страховые взносы</w:t>
            </w:r>
          </w:p>
        </w:tc>
        <w:tc>
          <w:tcPr>
            <w:tcW w:type="dxa" w:w="27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23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320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24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25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41"/>
        </w:trPr>
        <w:tc>
          <w:tcPr>
            <w:tcW w:type="dxa" w:w="7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27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Страховые взносы с выплат штатным работникам</w:t>
            </w:r>
          </w:p>
        </w:tc>
        <w:tc>
          <w:tcPr>
            <w:tcW w:type="dxa" w:w="27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28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18120</w:t>
            </w:r>
          </w:p>
        </w:tc>
        <w:tc>
          <w:tcPr>
            <w:tcW w:type="dxa" w:w="320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2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2A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41"/>
        </w:trPr>
        <w:tc>
          <w:tcPr>
            <w:tcW w:type="dxa" w:w="7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2B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type="dxa" w:w="27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2C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2100</w:t>
            </w:r>
          </w:p>
        </w:tc>
        <w:tc>
          <w:tcPr>
            <w:tcW w:type="dxa" w:w="320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2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2E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41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2.</w:t>
            </w:r>
          </w:p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30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Командировочные расходы</w:t>
            </w:r>
          </w:p>
        </w:tc>
        <w:tc>
          <w:tcPr>
            <w:tcW w:type="dxa" w:w="27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31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</w:t>
            </w:r>
          </w:p>
        </w:tc>
        <w:tc>
          <w:tcPr>
            <w:tcW w:type="dxa" w:w="320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32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33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</w:t>
            </w:r>
          </w:p>
        </w:tc>
      </w:tr>
      <w:tr>
        <w:trPr>
          <w:trHeight w:hRule="atLeast" w:val="300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3.</w:t>
            </w:r>
          </w:p>
        </w:tc>
        <w:tc>
          <w:tcPr>
            <w:tcW w:type="dxa" w:w="13482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35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Прямые расходы 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Офисные расходы </w:t>
            </w:r>
          </w:p>
        </w:tc>
      </w:tr>
      <w:tr>
        <w:trPr>
          <w:trHeight w:hRule="atLeast" w:val="300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37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Интернет трафик</w:t>
            </w:r>
            <w:r>
              <w:rPr>
                <w:rFonts w:ascii="Times New Roman" w:hAnsi="Times New Roman"/>
                <w:color w:val="000000"/>
              </w:rPr>
              <w:t xml:space="preserve"> (600 в месяц)</w:t>
            </w:r>
          </w:p>
        </w:tc>
        <w:tc>
          <w:tcPr>
            <w:tcW w:type="dxa" w:w="27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38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8000</w:t>
            </w:r>
          </w:p>
        </w:tc>
        <w:tc>
          <w:tcPr>
            <w:tcW w:type="dxa" w:w="32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3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3A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8000</w:t>
            </w:r>
          </w:p>
        </w:tc>
      </w:tr>
      <w:tr>
        <w:trPr>
          <w:trHeight w:hRule="atLeast" w:val="300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3C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Разработка </w:t>
            </w:r>
            <w:r>
              <w:rPr>
                <w:rFonts w:ascii="Times New Roman" w:hAnsi="Times New Roman"/>
                <w:color w:val="000000"/>
              </w:rPr>
              <w:t xml:space="preserve">и изготовление </w:t>
            </w:r>
            <w:r>
              <w:rPr>
                <w:rFonts w:ascii="Times New Roman" w:hAnsi="Times New Roman"/>
                <w:color w:val="000000"/>
              </w:rPr>
              <w:t>сайта</w:t>
            </w:r>
          </w:p>
        </w:tc>
        <w:tc>
          <w:tcPr>
            <w:tcW w:type="dxa" w:w="27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3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50000</w:t>
            </w:r>
          </w:p>
        </w:tc>
        <w:tc>
          <w:tcPr>
            <w:tcW w:type="dxa" w:w="32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3E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3F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50000</w:t>
            </w:r>
          </w:p>
        </w:tc>
      </w:tr>
      <w:tr>
        <w:trPr>
          <w:trHeight w:hRule="atLeast" w:val="300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41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Компьютерное оборудование</w:t>
            </w:r>
            <w:r>
              <w:rPr>
                <w:rFonts w:ascii="Times New Roman" w:hAnsi="Times New Roman"/>
                <w:color w:val="000000"/>
              </w:rPr>
              <w:t xml:space="preserve"> и программное обеспечение</w:t>
            </w:r>
          </w:p>
        </w:tc>
        <w:tc>
          <w:tcPr>
            <w:tcW w:type="dxa" w:w="27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42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150000</w:t>
            </w:r>
          </w:p>
        </w:tc>
        <w:tc>
          <w:tcPr>
            <w:tcW w:type="dxa" w:w="32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43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44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150000</w:t>
            </w:r>
          </w:p>
        </w:tc>
      </w:tr>
      <w:tr>
        <w:trPr>
          <w:trHeight w:hRule="atLeast" w:val="300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4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Аренда помещения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оборудования</w:t>
            </w:r>
          </w:p>
        </w:tc>
        <w:tc>
          <w:tcPr>
            <w:tcW w:type="dxa" w:w="27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47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</w:t>
            </w:r>
          </w:p>
        </w:tc>
        <w:tc>
          <w:tcPr>
            <w:tcW w:type="dxa" w:w="32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48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4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</w:t>
            </w:r>
          </w:p>
        </w:tc>
      </w:tr>
      <w:tr>
        <w:trPr>
          <w:trHeight w:hRule="atLeast" w:val="300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4B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Канцтовары</w:t>
            </w:r>
            <w:r>
              <w:rPr>
                <w:rFonts w:ascii="Times New Roman" w:hAnsi="Times New Roman"/>
                <w:color w:val="000000"/>
              </w:rPr>
              <w:t xml:space="preserve"> и расходные материалы</w:t>
            </w:r>
          </w:p>
        </w:tc>
        <w:tc>
          <w:tcPr>
            <w:tcW w:type="dxa" w:w="27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4C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25000</w:t>
            </w:r>
          </w:p>
        </w:tc>
        <w:tc>
          <w:tcPr>
            <w:tcW w:type="dxa" w:w="32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4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4E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25000</w:t>
            </w:r>
          </w:p>
        </w:tc>
      </w:tr>
      <w:tr>
        <w:trPr>
          <w:trHeight w:hRule="atLeast" w:val="300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50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Публикации. Размещение рекламы в печатных СМИ</w:t>
            </w:r>
          </w:p>
        </w:tc>
        <w:tc>
          <w:tcPr>
            <w:tcW w:type="dxa" w:w="27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51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70000</w:t>
            </w:r>
          </w:p>
        </w:tc>
        <w:tc>
          <w:tcPr>
            <w:tcW w:type="dxa" w:w="32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52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53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70000</w:t>
            </w:r>
          </w:p>
        </w:tc>
      </w:tr>
      <w:tr>
        <w:trPr>
          <w:trHeight w:hRule="atLeast" w:val="300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5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Участие в тематических выставках</w:t>
            </w:r>
          </w:p>
        </w:tc>
        <w:tc>
          <w:tcPr>
            <w:tcW w:type="dxa" w:w="27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56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</w:t>
            </w:r>
          </w:p>
        </w:tc>
        <w:tc>
          <w:tcPr>
            <w:tcW w:type="dxa" w:w="32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57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58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</w:t>
            </w:r>
          </w:p>
        </w:tc>
      </w:tr>
      <w:tr>
        <w:trPr>
          <w:trHeight w:hRule="atLeast" w:val="300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3.8</w:t>
            </w:r>
          </w:p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5A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Услуга электронного документооборота </w:t>
            </w:r>
            <w:r>
              <w:rPr>
                <w:rFonts w:ascii="Times New Roman" w:hAnsi="Times New Roman"/>
                <w:color w:val="000000"/>
                <w:sz w:val="20"/>
              </w:rPr>
              <w:t>E-invoicing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(ежемесячная оплата – 295 руб. в месяц)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27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5B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5000</w:t>
            </w:r>
          </w:p>
        </w:tc>
        <w:tc>
          <w:tcPr>
            <w:tcW w:type="dxa" w:w="32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5C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5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5000</w:t>
            </w:r>
          </w:p>
        </w:tc>
      </w:tr>
      <w:tr>
        <w:trPr>
          <w:trHeight w:hRule="atLeast" w:val="41"/>
        </w:trPr>
        <w:tc>
          <w:tcPr>
            <w:tcW w:type="dxa" w:w="7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3.9</w:t>
            </w:r>
          </w:p>
        </w:tc>
        <w:tc>
          <w:tcPr>
            <w:tcW w:type="dxa" w:w="519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5F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Услуги банков, почтовые услуги</w:t>
            </w:r>
          </w:p>
        </w:tc>
        <w:tc>
          <w:tcPr>
            <w:tcW w:type="dxa" w:w="27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60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  <w:p w14:paraId="61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4000</w:t>
            </w:r>
          </w:p>
        </w:tc>
        <w:tc>
          <w:tcPr>
            <w:tcW w:type="dxa" w:w="320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62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63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4000</w:t>
            </w:r>
          </w:p>
        </w:tc>
      </w:tr>
      <w:tr>
        <w:trPr>
          <w:trHeight w:hRule="atLeast" w:val="41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519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6501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ИТОГО</w:t>
            </w:r>
          </w:p>
          <w:p w14:paraId="6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7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67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483000</w:t>
            </w:r>
          </w:p>
        </w:tc>
        <w:tc>
          <w:tcPr>
            <w:tcW w:type="dxa" w:w="32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68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6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483000</w:t>
            </w:r>
          </w:p>
        </w:tc>
      </w:tr>
      <w:tr>
        <w:trPr>
          <w:trHeight w:hRule="atLeast" w:val="19"/>
        </w:trPr>
        <w:tc>
          <w:tcPr>
            <w:tcW w:type="dxa" w:w="776"/>
            <w:tcBorders>
              <w:top w:color="000000" w:sz="4" w:val="single"/>
              <w:left w:sz="4" w:val="nil"/>
              <w:bottom w:sz="4" w:val="nil"/>
              <w:right w:sz="4" w:val="nil"/>
            </w:tcBorders>
          </w:tcPr>
          <w:p w14:paraId="6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3482"/>
            <w:gridSpan w:val="4"/>
            <w:tcBorders>
              <w:top w:color="000000" w:sz="4" w:val="single"/>
              <w:left w:sz="4" w:val="nil"/>
              <w:bottom w:sz="4" w:val="nil"/>
            </w:tcBorders>
          </w:tcPr>
          <w:p w14:paraId="6B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14:paraId="6C010000">
      <w:pPr>
        <w:spacing w:after="0"/>
        <w:ind/>
        <w:jc w:val="both"/>
        <w:rPr>
          <w:rFonts w:ascii="Times New Roman" w:hAnsi="Times New Roman"/>
        </w:rPr>
      </w:pPr>
    </w:p>
    <w:sectPr>
      <w:pgSz w:h="11906" w:w="16838"/>
      <w:pgMar w:bottom="850" w:footer="708" w:gutter="0" w:header="708" w:left="1134" w:right="1134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1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"/>
      <w:lvlJc w:val="left"/>
      <w:pPr>
        <w:ind w:hanging="360" w:left="799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51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23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95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7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9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11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83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559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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</w:pPr>
  </w:style>
  <w:style w:styleId="Style_8_ch" w:type="character">
    <w:name w:val="toc 2"/>
    <w:link w:val="Style_8"/>
  </w:style>
  <w:style w:styleId="Style_9" w:type="paragraph">
    <w:name w:val="toc 4"/>
    <w:next w:val="Style_7"/>
    <w:link w:val="Style_9_ch"/>
    <w:uiPriority w:val="39"/>
    <w:pPr>
      <w:ind w:firstLine="0" w:left="600"/>
    </w:pPr>
  </w:style>
  <w:style w:styleId="Style_9_ch" w:type="character">
    <w:name w:val="toc 4"/>
    <w:link w:val="Style_9"/>
  </w:style>
  <w:style w:styleId="Style_10" w:type="paragraph">
    <w:name w:val="toc 6"/>
    <w:next w:val="Style_7"/>
    <w:link w:val="Style_10_ch"/>
    <w:uiPriority w:val="39"/>
    <w:pPr>
      <w:ind w:firstLine="0" w:left="1000"/>
    </w:pPr>
  </w:style>
  <w:style w:styleId="Style_10_ch" w:type="character">
    <w:name w:val="toc 6"/>
    <w:link w:val="Style_10"/>
  </w:style>
  <w:style w:styleId="Style_11" w:type="paragraph">
    <w:name w:val="toc 7"/>
    <w:next w:val="Style_7"/>
    <w:link w:val="Style_11_ch"/>
    <w:uiPriority w:val="39"/>
    <w:pPr>
      <w:ind w:firstLine="0" w:left="1200"/>
    </w:pPr>
  </w:style>
  <w:style w:styleId="Style_11_ch" w:type="character">
    <w:name w:val="toc 7"/>
    <w:link w:val="Style_11"/>
  </w:style>
  <w:style w:styleId="Style_12" w:type="paragraph">
    <w:name w:val="heading 3"/>
    <w:next w:val="Style_7"/>
    <w:link w:val="Style_12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2_ch" w:type="character">
    <w:name w:val="heading 3"/>
    <w:link w:val="Style_12"/>
    <w:rPr>
      <w:rFonts w:ascii="XO Thames" w:hAnsi="XO Thames"/>
      <w:b w:val="1"/>
      <w:i w:val="1"/>
      <w:color w:val="000000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7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2" w:type="paragraph">
    <w:name w:val="List Paragraph"/>
    <w:basedOn w:val="Style_7"/>
    <w:link w:val="Style_2_ch"/>
    <w:pPr>
      <w:ind w:firstLine="0" w:left="720"/>
      <w:contextualSpacing w:val="1"/>
    </w:pPr>
  </w:style>
  <w:style w:styleId="Style_2_ch" w:type="character">
    <w:name w:val="List Paragraph"/>
    <w:basedOn w:val="Style_7_ch"/>
    <w:link w:val="Style_2"/>
  </w:style>
  <w:style w:styleId="Style_15" w:type="paragraph">
    <w:name w:val="heading 5"/>
    <w:next w:val="Style_7"/>
    <w:link w:val="Style_15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5_ch" w:type="character">
    <w:name w:val="heading 5"/>
    <w:link w:val="Style_15"/>
    <w:rPr>
      <w:rFonts w:ascii="XO Thames" w:hAnsi="XO Thames"/>
      <w:b w:val="1"/>
      <w:color w:val="000000"/>
      <w:sz w:val="22"/>
    </w:rPr>
  </w:style>
  <w:style w:styleId="Style_16" w:type="paragraph">
    <w:name w:val="heading 1"/>
    <w:next w:val="Style_7"/>
    <w:link w:val="Style_16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3" w:type="paragraph">
    <w:name w:val="Hyperlink"/>
    <w:basedOn w:val="Style_13"/>
    <w:link w:val="Style_3_ch"/>
    <w:rPr>
      <w:color w:themeColor="hyperlink" w:val="0563C1"/>
      <w:u w:val="single"/>
    </w:rPr>
  </w:style>
  <w:style w:styleId="Style_3_ch" w:type="character">
    <w:name w:val="Hyperlink"/>
    <w:basedOn w:val="Style_13_ch"/>
    <w:link w:val="Style_3"/>
    <w:rPr>
      <w:color w:themeColor="hyperlink" w:val="0563C1"/>
      <w:u w:val="single"/>
    </w:rPr>
  </w:style>
  <w:style w:styleId="Style_17" w:type="paragraph">
    <w:name w:val="Footnote"/>
    <w:link w:val="Style_17_ch"/>
    <w:pPr>
      <w:ind/>
      <w:jc w:val="left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annotation reference"/>
    <w:basedOn w:val="Style_13"/>
    <w:link w:val="Style_18_ch"/>
    <w:rPr>
      <w:sz w:val="16"/>
    </w:rPr>
  </w:style>
  <w:style w:styleId="Style_18_ch" w:type="character">
    <w:name w:val="annotation reference"/>
    <w:basedOn w:val="Style_13_ch"/>
    <w:link w:val="Style_18"/>
    <w:rPr>
      <w:sz w:val="16"/>
    </w:rPr>
  </w:style>
  <w:style w:styleId="Style_19" w:type="paragraph">
    <w:name w:val="toc 1"/>
    <w:next w:val="Style_7"/>
    <w:link w:val="Style_19_ch"/>
    <w:uiPriority w:val="39"/>
    <w:pPr>
      <w:ind w:firstLine="0" w:left="0"/>
    </w:pPr>
    <w:rPr>
      <w:rFonts w:ascii="XO Thames" w:hAnsi="XO Thames"/>
      <w:b w:val="1"/>
    </w:rPr>
  </w:style>
  <w:style w:styleId="Style_19_ch" w:type="character">
    <w:name w:val="toc 1"/>
    <w:link w:val="Style_19"/>
    <w:rPr>
      <w:rFonts w:ascii="XO Thames" w:hAnsi="XO Thames"/>
      <w:b w:val="1"/>
    </w:rPr>
  </w:style>
  <w:style w:styleId="Style_20" w:type="paragraph">
    <w:name w:val="Balloon Text"/>
    <w:basedOn w:val="Style_7"/>
    <w:link w:val="Style_20_ch"/>
    <w:pPr>
      <w:spacing w:after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7_ch"/>
    <w:link w:val="Style_20"/>
    <w:rPr>
      <w:rFonts w:ascii="Segoe UI" w:hAnsi="Segoe UI"/>
      <w:sz w:val="18"/>
    </w:rPr>
  </w:style>
  <w:style w:styleId="Style_21" w:type="paragraph">
    <w:name w:val="Header and Footer"/>
    <w:link w:val="Style_21_ch"/>
    <w:pPr>
      <w:spacing w:line="360" w:lineRule="auto"/>
      <w:ind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annotation text"/>
    <w:basedOn w:val="Style_7"/>
    <w:link w:val="Style_22_ch"/>
    <w:pPr>
      <w:spacing w:line="240" w:lineRule="auto"/>
      <w:ind/>
    </w:pPr>
    <w:rPr>
      <w:sz w:val="20"/>
    </w:rPr>
  </w:style>
  <w:style w:styleId="Style_22_ch" w:type="character">
    <w:name w:val="annotation text"/>
    <w:basedOn w:val="Style_7_ch"/>
    <w:link w:val="Style_22"/>
    <w:rPr>
      <w:sz w:val="20"/>
    </w:rPr>
  </w:style>
  <w:style w:styleId="Style_23" w:type="paragraph">
    <w:name w:val="toc 9"/>
    <w:next w:val="Style_7"/>
    <w:link w:val="Style_23_ch"/>
    <w:uiPriority w:val="39"/>
    <w:pPr>
      <w:ind w:firstLine="0" w:left="1600"/>
    </w:pPr>
  </w:style>
  <w:style w:styleId="Style_23_ch" w:type="character">
    <w:name w:val="toc 9"/>
    <w:link w:val="Style_23"/>
  </w:style>
  <w:style w:styleId="Style_24" w:type="paragraph">
    <w:name w:val="toc 8"/>
    <w:next w:val="Style_7"/>
    <w:link w:val="Style_24_ch"/>
    <w:uiPriority w:val="39"/>
    <w:pPr>
      <w:ind w:firstLine="0" w:left="1400"/>
    </w:pPr>
  </w:style>
  <w:style w:styleId="Style_24_ch" w:type="character">
    <w:name w:val="toc 8"/>
    <w:link w:val="Style_24"/>
  </w:style>
  <w:style w:styleId="Style_25" w:type="paragraph">
    <w:name w:val="annotation subject"/>
    <w:basedOn w:val="Style_22"/>
    <w:next w:val="Style_22"/>
    <w:link w:val="Style_25_ch"/>
    <w:rPr>
      <w:b w:val="1"/>
    </w:rPr>
  </w:style>
  <w:style w:styleId="Style_25_ch" w:type="character">
    <w:name w:val="annotation subject"/>
    <w:basedOn w:val="Style_22_ch"/>
    <w:link w:val="Style_25"/>
    <w:rPr>
      <w:b w:val="1"/>
    </w:rPr>
  </w:style>
  <w:style w:styleId="Style_26" w:type="paragraph">
    <w:name w:val="toc 5"/>
    <w:next w:val="Style_7"/>
    <w:link w:val="Style_26_ch"/>
    <w:uiPriority w:val="39"/>
    <w:pPr>
      <w:ind w:firstLine="0" w:left="800"/>
    </w:pPr>
  </w:style>
  <w:style w:styleId="Style_26_ch" w:type="character">
    <w:name w:val="toc 5"/>
    <w:link w:val="Style_26"/>
  </w:style>
  <w:style w:styleId="Style_27" w:type="paragraph">
    <w:name w:val="Subtitle"/>
    <w:next w:val="Style_7"/>
    <w:link w:val="Style_27_ch"/>
    <w:uiPriority w:val="11"/>
    <w:qFormat/>
    <w:rPr>
      <w:rFonts w:ascii="XO Thames" w:hAnsi="XO Thames"/>
      <w:i w:val="1"/>
      <w:color w:val="616161"/>
      <w:sz w:val="24"/>
    </w:rPr>
  </w:style>
  <w:style w:styleId="Style_27_ch" w:type="character">
    <w:name w:val="Subtitle"/>
    <w:link w:val="Style_27"/>
    <w:rPr>
      <w:rFonts w:ascii="XO Thames" w:hAnsi="XO Thames"/>
      <w:i w:val="1"/>
      <w:color w:val="616161"/>
      <w:sz w:val="24"/>
    </w:rPr>
  </w:style>
  <w:style w:styleId="Style_28" w:type="paragraph">
    <w:name w:val="toc 10"/>
    <w:next w:val="Style_7"/>
    <w:link w:val="Style_28_ch"/>
    <w:uiPriority w:val="39"/>
    <w:pPr>
      <w:ind w:firstLine="0" w:left="1800"/>
    </w:pPr>
  </w:style>
  <w:style w:styleId="Style_28_ch" w:type="character">
    <w:name w:val="toc 10"/>
    <w:link w:val="Style_28"/>
  </w:style>
  <w:style w:styleId="Style_29" w:type="paragraph">
    <w:name w:val="Title"/>
    <w:next w:val="Style_7"/>
    <w:link w:val="Style_29_ch"/>
    <w:uiPriority w:val="10"/>
    <w:qFormat/>
    <w:rPr>
      <w:rFonts w:ascii="XO Thames" w:hAnsi="XO Thames"/>
      <w:b w:val="1"/>
      <w:sz w:val="52"/>
    </w:rPr>
  </w:style>
  <w:style w:styleId="Style_29_ch" w:type="character">
    <w:name w:val="Title"/>
    <w:link w:val="Style_29"/>
    <w:rPr>
      <w:rFonts w:ascii="XO Thames" w:hAnsi="XO Thames"/>
      <w:b w:val="1"/>
      <w:sz w:val="52"/>
    </w:rPr>
  </w:style>
  <w:style w:styleId="Style_30" w:type="paragraph">
    <w:name w:val="heading 4"/>
    <w:next w:val="Style_7"/>
    <w:link w:val="Style_3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0_ch" w:type="character">
    <w:name w:val="heading 4"/>
    <w:link w:val="Style_30"/>
    <w:rPr>
      <w:rFonts w:ascii="XO Thames" w:hAnsi="XO Thames"/>
      <w:b w:val="1"/>
      <w:color w:val="595959"/>
      <w:sz w:val="26"/>
    </w:rPr>
  </w:style>
  <w:style w:styleId="Style_31" w:type="paragraph">
    <w:name w:val="heading 2"/>
    <w:next w:val="Style_7"/>
    <w:link w:val="Style_3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1_ch" w:type="character">
    <w:name w:val="heading 2"/>
    <w:link w:val="Style_31"/>
    <w:rPr>
      <w:rFonts w:ascii="XO Thames" w:hAnsi="XO Thames"/>
      <w:b w:val="1"/>
      <w:color w:val="00A0FF"/>
      <w:sz w:val="26"/>
    </w:rPr>
  </w:style>
  <w:style w:styleId="Style_1" w:type="table">
    <w:name w:val="Table Grid"/>
    <w:basedOn w:val="Style_6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Сетка таблицы1"/>
    <w:basedOn w:val="Style_6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Сетка таблицы2"/>
    <w:basedOn w:val="Style_6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numbering.xml" Type="http://schemas.openxmlformats.org/officeDocument/2006/relationships/numbering"/>
  <Relationship Id="rId15" Target="webSettings.xml" Type="http://schemas.openxmlformats.org/officeDocument/2006/relationships/webSettings"/>
  <Relationship Id="rId11" Target="fontTable.xml" Type="http://schemas.openxmlformats.org/officeDocument/2006/relationships/fontTable"/>
  <Relationship Id="rId16" Target="theme/theme1.xml" Type="http://schemas.openxmlformats.org/officeDocument/2006/relationships/theme"/>
  <Relationship Id="rId10" Target="media/10.jpeg" Type="http://schemas.openxmlformats.org/officeDocument/2006/relationships/image"/>
  <Relationship Id="rId7" Target="media/7.jpeg" Type="http://schemas.openxmlformats.org/officeDocument/2006/relationships/image"/>
  <Relationship Id="rId14" Target="stylesWithEffects.xml" Type="http://schemas.microsoft.com/office/2007/relationships/stylesWithEffects"/>
  <Relationship Id="rId6" Target="media/6.png" Type="http://schemas.openxmlformats.org/officeDocument/2006/relationships/image"/>
  <Relationship Id="rId13" Target="styles.xml" Type="http://schemas.openxmlformats.org/officeDocument/2006/relationships/styles"/>
  <Relationship Id="rId5" Target="media/5.png" Type="http://schemas.openxmlformats.org/officeDocument/2006/relationships/image"/>
  <Relationship Id="rId9" Target="media/9.jpeg" Type="http://schemas.openxmlformats.org/officeDocument/2006/relationships/image"/>
  <Relationship Id="rId4" Target="media/4.png" Type="http://schemas.openxmlformats.org/officeDocument/2006/relationships/image"/>
  <Relationship Id="rId8" Target="media/8.jpeg" Type="http://schemas.openxmlformats.org/officeDocument/2006/relationships/image"/>
  <Relationship Id="rId3" Target="media/3.jpeg" Type="http://schemas.openxmlformats.org/officeDocument/2006/relationships/image"/>
  <Relationship Id="rId12" Target="settings.xml" Type="http://schemas.openxmlformats.org/officeDocument/2006/relationships/settings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2021-11-11T13:33:48Z</dcterms:modified>
</cp:coreProperties>
</file>